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989"/>
        <w:gridCol w:w="2054"/>
        <w:gridCol w:w="2264"/>
        <w:gridCol w:w="2168"/>
      </w:tblGrid>
      <w:tr w:rsidR="00751011" w:rsidRPr="00751011" w:rsidTr="00751011"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 </w:t>
            </w:r>
            <w:r w:rsidRPr="00751011">
              <w:rPr>
                <w:rFonts w:ascii="Open Sans" w:eastAsia="Times New Roman" w:hAnsi="Open Sans" w:cs="Times New Roman"/>
                <w:b/>
                <w:bCs/>
                <w:color w:val="405965"/>
                <w:sz w:val="24"/>
                <w:szCs w:val="24"/>
                <w:lang w:eastAsia="ru-RU"/>
              </w:rPr>
              <w:t>№  </w:t>
            </w:r>
            <w:proofErr w:type="gramStart"/>
            <w:r w:rsidRPr="00751011">
              <w:rPr>
                <w:rFonts w:ascii="Open Sans" w:eastAsia="Times New Roman" w:hAnsi="Open Sans" w:cs="Times New Roman"/>
                <w:b/>
                <w:bCs/>
                <w:color w:val="405965"/>
                <w:sz w:val="24"/>
                <w:szCs w:val="24"/>
                <w:lang w:eastAsia="ru-RU"/>
              </w:rPr>
              <w:t>п</w:t>
            </w:r>
            <w:proofErr w:type="gramEnd"/>
            <w:r w:rsidRPr="00751011">
              <w:rPr>
                <w:rFonts w:ascii="Open Sans" w:eastAsia="Times New Roman" w:hAnsi="Open Sans" w:cs="Times New Roman"/>
                <w:b/>
                <w:bCs/>
                <w:color w:val="405965"/>
                <w:sz w:val="24"/>
                <w:szCs w:val="24"/>
                <w:lang w:eastAsia="ru-RU"/>
              </w:rPr>
              <w:t>/ п</w:t>
            </w:r>
          </w:p>
        </w:tc>
        <w:tc>
          <w:tcPr>
            <w:tcW w:w="698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b/>
                <w:bCs/>
                <w:color w:val="405965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b/>
                <w:bCs/>
                <w:color w:val="405965"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b/>
                <w:bCs/>
                <w:color w:val="405965"/>
                <w:sz w:val="24"/>
                <w:szCs w:val="24"/>
                <w:lang w:eastAsia="ru-RU"/>
              </w:rPr>
              <w:t>Время проведения мероприятия (местное) 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b/>
                <w:bCs/>
                <w:color w:val="405965"/>
                <w:sz w:val="24"/>
                <w:szCs w:val="24"/>
                <w:lang w:eastAsia="ru-RU"/>
              </w:rPr>
              <w:t> Место проведения м</w:t>
            </w:r>
            <w:bookmarkStart w:id="0" w:name="_GoBack"/>
            <w:bookmarkEnd w:id="0"/>
            <w:r w:rsidRPr="00751011">
              <w:rPr>
                <w:rFonts w:ascii="Open Sans" w:eastAsia="Times New Roman" w:hAnsi="Open Sans" w:cs="Times New Roman"/>
                <w:b/>
                <w:bCs/>
                <w:color w:val="405965"/>
                <w:sz w:val="24"/>
                <w:szCs w:val="24"/>
                <w:lang w:eastAsia="ru-RU"/>
              </w:rPr>
              <w:t>ероприятия</w:t>
            </w:r>
          </w:p>
        </w:tc>
      </w:tr>
      <w:tr w:rsidR="00751011" w:rsidRPr="00751011" w:rsidTr="00751011"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1. Современные аналитические инструменты в контрольной деятельности налоговых органов. Риск – ориентированный подход в налоговом администрировании.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2. Основные изменения законодательства по НДФЛ и страховым взносам.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3. Внедрение национальной системы </w:t>
            </w:r>
            <w:proofErr w:type="spell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прослеживаемости</w:t>
            </w:r>
            <w:proofErr w:type="spell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 товаров.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4. Регистрация бизнеса за три дня: быстро и удобно.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5. 4 этап реформы ККТ: Кто должен перейти на онлайн-кассы с 01.07.2021.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10.02.2021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 14.00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г. Благовещенск, </w:t>
            </w:r>
            <w:proofErr w:type="spell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пер</w:t>
            </w:r>
            <w:proofErr w:type="gram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.С</w:t>
            </w:r>
            <w:proofErr w:type="gram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оветский</w:t>
            </w:r>
            <w:proofErr w:type="spell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 65/1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УФНС России по Амурской области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( в онлайн-формате)</w:t>
            </w:r>
          </w:p>
        </w:tc>
      </w:tr>
      <w:tr w:rsidR="00751011" w:rsidRPr="00751011" w:rsidTr="00751011"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1. Нарушения, допускаемые налоговыми агентами (плательщиками страховых взносов) по НДФЛ и страховым взносам. Негативные последствия выплаты "конвертной" заработной платы.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2. Преимущества досудебного обжалования.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3. Обзор налоговых правонарушений, выявленных по результатам ВНП.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21.04.2021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г. Благовещенск, </w:t>
            </w:r>
            <w:proofErr w:type="spell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пер</w:t>
            </w:r>
            <w:proofErr w:type="gram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.С</w:t>
            </w:r>
            <w:proofErr w:type="gram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оветский</w:t>
            </w:r>
            <w:proofErr w:type="spell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 65/1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УФНС России по Амурской области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( в онлайн-формате)</w:t>
            </w:r>
          </w:p>
        </w:tc>
      </w:tr>
      <w:tr w:rsidR="00751011" w:rsidRPr="00751011" w:rsidTr="00751011"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1. Стратегия и методы налоговых органов при планировании выездных налоговых проверок.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2.Основания для проведения налоговым органом осмотра территорий, помещений, документов и предметов и истребования документов в связи с наличием задолженности по налогам, сборам и страховым взносам.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3. Привлечение </w:t>
            </w:r>
            <w:proofErr w:type="gram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к ответственности контролирующих должника лиц при уклонении от уплаты задолженности по налогам в процедурах</w:t>
            </w:r>
            <w:proofErr w:type="gram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 банкротства.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4. Актуальные вопросы применения ККТ. Результаты завершения 4 этапа перехода на онлайн ККТ.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09.09.2021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г. Благовещенск, </w:t>
            </w:r>
            <w:proofErr w:type="spell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пер</w:t>
            </w:r>
            <w:proofErr w:type="gram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.С</w:t>
            </w:r>
            <w:proofErr w:type="gram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оветский</w:t>
            </w:r>
            <w:proofErr w:type="spell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 65/1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УФНС России по Амурской области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( в онлайн-формате)</w:t>
            </w:r>
          </w:p>
        </w:tc>
      </w:tr>
      <w:tr w:rsidR="00751011" w:rsidRPr="00751011" w:rsidTr="00751011">
        <w:tc>
          <w:tcPr>
            <w:tcW w:w="0" w:type="auto"/>
            <w:shd w:val="clear" w:color="auto" w:fill="auto"/>
            <w:vAlign w:val="center"/>
            <w:hideMark/>
          </w:tcPr>
          <w:p w:rsidR="00751011" w:rsidRPr="00751011" w:rsidRDefault="00751011" w:rsidP="00751011">
            <w:pPr>
              <w:spacing w:after="0" w:line="240" w:lineRule="auto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</w:p>
        </w:tc>
        <w:tc>
          <w:tcPr>
            <w:tcW w:w="6989" w:type="dxa"/>
            <w:shd w:val="clear" w:color="auto" w:fill="auto"/>
            <w:vAlign w:val="center"/>
            <w:hideMark/>
          </w:tcPr>
          <w:p w:rsidR="00751011" w:rsidRPr="00751011" w:rsidRDefault="00751011" w:rsidP="0075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1011" w:rsidRPr="00751011" w:rsidRDefault="00751011" w:rsidP="0075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1011" w:rsidRPr="00751011" w:rsidRDefault="00751011" w:rsidP="0075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51011" w:rsidRPr="00751011" w:rsidRDefault="00751011" w:rsidP="00751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1011" w:rsidRPr="00751011" w:rsidTr="00751011"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9" w:type="dxa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Контрольно</w:t>
            </w:r>
            <w:proofErr w:type="spell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 - надзорные мероприятия налоговых органов Амурской области: виды, порядок их проведения, итоги работы за 9 месяцев 2021 года.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2. Полномочия налоговых органов по принятию обеспечительных мер в целях взыскания долга по уплате налогов.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3.Обзор отраслевой судебной (досудебной) арбитражной практики по итогам ___ квартала 2021 года.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г. Благовещенск, </w:t>
            </w:r>
            <w:proofErr w:type="spell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пер</w:t>
            </w:r>
            <w:proofErr w:type="gramStart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.С</w:t>
            </w:r>
            <w:proofErr w:type="gram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оветский</w:t>
            </w:r>
            <w:proofErr w:type="spellEnd"/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 xml:space="preserve"> 65/1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УФНС России по Амурской области</w:t>
            </w:r>
          </w:p>
          <w:p w:rsidR="00751011" w:rsidRPr="00751011" w:rsidRDefault="00751011" w:rsidP="00751011">
            <w:pPr>
              <w:spacing w:after="0" w:line="240" w:lineRule="auto"/>
              <w:jc w:val="center"/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</w:pPr>
            <w:r w:rsidRPr="00751011">
              <w:rPr>
                <w:rFonts w:ascii="Open Sans" w:eastAsia="Times New Roman" w:hAnsi="Open Sans" w:cs="Times New Roman"/>
                <w:color w:val="405965"/>
                <w:sz w:val="24"/>
                <w:szCs w:val="24"/>
                <w:lang w:eastAsia="ru-RU"/>
              </w:rPr>
              <w:t>( в онлайн-формате)</w:t>
            </w:r>
          </w:p>
        </w:tc>
      </w:tr>
    </w:tbl>
    <w:p w:rsidR="00724D1B" w:rsidRDefault="00751011"/>
    <w:sectPr w:rsidR="00724D1B" w:rsidSect="00751011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11"/>
    <w:rsid w:val="002879DE"/>
    <w:rsid w:val="00751011"/>
    <w:rsid w:val="00F6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01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510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1Internet</dc:creator>
  <cp:lastModifiedBy>1Internet</cp:lastModifiedBy>
  <cp:revision>1</cp:revision>
  <dcterms:created xsi:type="dcterms:W3CDTF">2021-12-17T03:28:00Z</dcterms:created>
  <dcterms:modified xsi:type="dcterms:W3CDTF">2021-12-17T03:29:00Z</dcterms:modified>
</cp:coreProperties>
</file>