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DA" w:rsidRDefault="00F245DA">
      <w:pPr>
        <w:pStyle w:val="aa"/>
        <w:jc w:val="center"/>
        <w:rPr>
          <w:b/>
          <w:color w:val="auto"/>
          <w:szCs w:val="24"/>
        </w:rPr>
      </w:pPr>
    </w:p>
    <w:p w:rsidR="0022459A" w:rsidRDefault="0022459A">
      <w:pPr>
        <w:pStyle w:val="aa"/>
        <w:jc w:val="center"/>
        <w:rPr>
          <w:b/>
          <w:color w:val="auto"/>
          <w:sz w:val="26"/>
          <w:szCs w:val="26"/>
        </w:rPr>
      </w:pPr>
    </w:p>
    <w:p w:rsidR="00537932" w:rsidRDefault="00537932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С </w:t>
      </w:r>
      <w:proofErr w:type="gramStart"/>
      <w:r>
        <w:rPr>
          <w:b/>
          <w:color w:val="auto"/>
          <w:sz w:val="26"/>
          <w:szCs w:val="26"/>
        </w:rPr>
        <w:t>П</w:t>
      </w:r>
      <w:proofErr w:type="gramEnd"/>
      <w:r>
        <w:rPr>
          <w:b/>
          <w:color w:val="auto"/>
          <w:sz w:val="26"/>
          <w:szCs w:val="26"/>
        </w:rPr>
        <w:t xml:space="preserve"> Р А В К А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3F102D">
        <w:rPr>
          <w:b/>
          <w:color w:val="auto"/>
          <w:sz w:val="26"/>
          <w:szCs w:val="26"/>
          <w:u w:val="single"/>
        </w:rPr>
        <w:t>в</w:t>
      </w:r>
      <w:r w:rsidR="003A51AC">
        <w:rPr>
          <w:b/>
          <w:color w:val="auto"/>
          <w:sz w:val="26"/>
          <w:szCs w:val="26"/>
          <w:u w:val="single"/>
        </w:rPr>
        <w:t xml:space="preserve"> </w:t>
      </w:r>
      <w:r w:rsidR="000D1430">
        <w:rPr>
          <w:b/>
          <w:color w:val="FF0000"/>
          <w:sz w:val="26"/>
          <w:szCs w:val="26"/>
          <w:u w:val="single"/>
        </w:rPr>
        <w:t xml:space="preserve"> апреле</w:t>
      </w:r>
      <w:r w:rsidR="005C2026" w:rsidRPr="003F102D">
        <w:rPr>
          <w:b/>
          <w:color w:val="auto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3C20F6">
        <w:rPr>
          <w:b/>
          <w:color w:val="auto"/>
          <w:sz w:val="26"/>
          <w:szCs w:val="26"/>
          <w:u w:val="single"/>
        </w:rPr>
        <w:t>4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0D4811" w:rsidRDefault="000D4811" w:rsidP="000D4811">
      <w:pPr>
        <w:ind w:firstLine="708"/>
        <w:jc w:val="both"/>
        <w:rPr>
          <w:color w:val="FF0000"/>
          <w:sz w:val="26"/>
          <w:szCs w:val="26"/>
        </w:rPr>
      </w:pPr>
    </w:p>
    <w:p w:rsidR="00F07AD7" w:rsidRDefault="00F07AD7" w:rsidP="000D4811">
      <w:pPr>
        <w:ind w:firstLine="708"/>
        <w:jc w:val="both"/>
        <w:rPr>
          <w:color w:val="auto"/>
          <w:sz w:val="26"/>
          <w:szCs w:val="26"/>
        </w:rPr>
      </w:pPr>
    </w:p>
    <w:p w:rsidR="003A38DB" w:rsidRPr="006329E4" w:rsidRDefault="003A38DB" w:rsidP="003A38DB">
      <w:pPr>
        <w:ind w:firstLine="708"/>
        <w:jc w:val="both"/>
        <w:rPr>
          <w:sz w:val="26"/>
          <w:szCs w:val="26"/>
        </w:rPr>
      </w:pPr>
      <w:r w:rsidRPr="006329E4">
        <w:rPr>
          <w:sz w:val="26"/>
          <w:szCs w:val="26"/>
        </w:rPr>
        <w:t xml:space="preserve">По состоянию </w:t>
      </w:r>
      <w:r>
        <w:rPr>
          <w:sz w:val="26"/>
          <w:szCs w:val="26"/>
        </w:rPr>
        <w:t>на 30</w:t>
      </w:r>
      <w:r w:rsidRPr="006329E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329E4">
        <w:rPr>
          <w:sz w:val="26"/>
          <w:szCs w:val="26"/>
        </w:rPr>
        <w:t>.2024 года в Управление ФНС России по Республике Мордовия (в цел</w:t>
      </w:r>
      <w:r>
        <w:rPr>
          <w:sz w:val="26"/>
          <w:szCs w:val="26"/>
        </w:rPr>
        <w:t>ом по республике) поступило 1367</w:t>
      </w:r>
      <w:r w:rsidRPr="006329E4">
        <w:rPr>
          <w:sz w:val="26"/>
          <w:szCs w:val="26"/>
        </w:rPr>
        <w:t xml:space="preserve"> обращений. Из них:</w:t>
      </w:r>
    </w:p>
    <w:p w:rsidR="003A38DB" w:rsidRPr="006329E4" w:rsidRDefault="003A38DB" w:rsidP="003A38DB">
      <w:pPr>
        <w:ind w:firstLine="708"/>
        <w:jc w:val="both"/>
        <w:rPr>
          <w:sz w:val="26"/>
          <w:szCs w:val="26"/>
        </w:rPr>
      </w:pPr>
      <w:r w:rsidRPr="006329E4">
        <w:rPr>
          <w:sz w:val="26"/>
          <w:szCs w:val="26"/>
        </w:rPr>
        <w:t>– в БД "Заявления граждан", зарегистрировано 20</w:t>
      </w:r>
      <w:r>
        <w:rPr>
          <w:sz w:val="26"/>
          <w:szCs w:val="26"/>
        </w:rPr>
        <w:t>6</w:t>
      </w:r>
      <w:r w:rsidRPr="006329E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6329E4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.</w:t>
      </w:r>
    </w:p>
    <w:p w:rsidR="003A38DB" w:rsidRPr="006329E4" w:rsidRDefault="003A38DB" w:rsidP="003A38DB">
      <w:pPr>
        <w:ind w:firstLine="709"/>
        <w:jc w:val="both"/>
        <w:rPr>
          <w:sz w:val="26"/>
          <w:szCs w:val="26"/>
        </w:rPr>
      </w:pPr>
      <w:r w:rsidRPr="006329E4">
        <w:rPr>
          <w:sz w:val="26"/>
          <w:szCs w:val="26"/>
        </w:rPr>
        <w:t>– по омниканальной системе СООН поступило в ц</w:t>
      </w:r>
      <w:r>
        <w:rPr>
          <w:sz w:val="26"/>
          <w:szCs w:val="26"/>
        </w:rPr>
        <w:t>елом – 1161</w:t>
      </w:r>
      <w:r w:rsidRPr="006329E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</w:t>
      </w:r>
      <w:r w:rsidRPr="006329E4">
        <w:rPr>
          <w:sz w:val="26"/>
          <w:szCs w:val="26"/>
        </w:rPr>
        <w:t xml:space="preserve">, в том числе: обращения по жизненным ситуациям – </w:t>
      </w:r>
      <w:r>
        <w:rPr>
          <w:sz w:val="26"/>
          <w:szCs w:val="26"/>
        </w:rPr>
        <w:t>228</w:t>
      </w:r>
      <w:r w:rsidRPr="006329E4">
        <w:rPr>
          <w:sz w:val="26"/>
          <w:szCs w:val="26"/>
        </w:rPr>
        <w:t xml:space="preserve"> (</w:t>
      </w:r>
      <w:r>
        <w:rPr>
          <w:sz w:val="26"/>
          <w:szCs w:val="26"/>
        </w:rPr>
        <w:t>19</w:t>
      </w:r>
      <w:r w:rsidRPr="006329E4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6329E4">
        <w:rPr>
          <w:sz w:val="26"/>
          <w:szCs w:val="26"/>
        </w:rPr>
        <w:t xml:space="preserve">%); обращения  в свободной форме – </w:t>
      </w:r>
      <w:r>
        <w:rPr>
          <w:sz w:val="26"/>
          <w:szCs w:val="26"/>
        </w:rPr>
        <w:t>691</w:t>
      </w:r>
      <w:r w:rsidRPr="006329E4">
        <w:rPr>
          <w:sz w:val="26"/>
          <w:szCs w:val="26"/>
        </w:rPr>
        <w:t xml:space="preserve"> (</w:t>
      </w:r>
      <w:r>
        <w:rPr>
          <w:sz w:val="26"/>
          <w:szCs w:val="26"/>
        </w:rPr>
        <w:t>56,4</w:t>
      </w:r>
      <w:r w:rsidRPr="006329E4">
        <w:rPr>
          <w:sz w:val="26"/>
          <w:szCs w:val="26"/>
        </w:rPr>
        <w:t xml:space="preserve">%); ЛК ИП (и прочие) – </w:t>
      </w:r>
      <w:r>
        <w:rPr>
          <w:sz w:val="26"/>
          <w:szCs w:val="26"/>
        </w:rPr>
        <w:t>142</w:t>
      </w:r>
      <w:r w:rsidRPr="006329E4">
        <w:rPr>
          <w:sz w:val="26"/>
          <w:szCs w:val="26"/>
        </w:rPr>
        <w:t xml:space="preserve"> (</w:t>
      </w:r>
      <w:r>
        <w:rPr>
          <w:sz w:val="26"/>
          <w:szCs w:val="26"/>
        </w:rPr>
        <w:t>17,8</w:t>
      </w:r>
      <w:r w:rsidRPr="006329E4">
        <w:rPr>
          <w:sz w:val="26"/>
          <w:szCs w:val="26"/>
        </w:rPr>
        <w:t xml:space="preserve">%). Из них размещено на </w:t>
      </w:r>
      <w:r>
        <w:rPr>
          <w:sz w:val="26"/>
          <w:szCs w:val="26"/>
        </w:rPr>
        <w:t>ССТУ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Ф – 942</w:t>
      </w:r>
      <w:r w:rsidRPr="006329E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6329E4">
        <w:rPr>
          <w:sz w:val="26"/>
          <w:szCs w:val="26"/>
        </w:rPr>
        <w:t>. По БД "ЗГ" (</w:t>
      </w:r>
      <w:r>
        <w:rPr>
          <w:sz w:val="26"/>
          <w:szCs w:val="26"/>
        </w:rPr>
        <w:t>206</w:t>
      </w:r>
      <w:r w:rsidRPr="006329E4">
        <w:rPr>
          <w:sz w:val="26"/>
          <w:szCs w:val="26"/>
        </w:rPr>
        <w:t xml:space="preserve">) – обращений поступило, в </w:t>
      </w:r>
      <w:proofErr w:type="spellStart"/>
      <w:r w:rsidRPr="006329E4">
        <w:rPr>
          <w:sz w:val="26"/>
          <w:szCs w:val="26"/>
        </w:rPr>
        <w:t>т.ч</w:t>
      </w:r>
      <w:proofErr w:type="spellEnd"/>
      <w:r w:rsidRPr="006329E4">
        <w:rPr>
          <w:sz w:val="26"/>
          <w:szCs w:val="26"/>
        </w:rPr>
        <w:t>.:</w:t>
      </w:r>
    </w:p>
    <w:tbl>
      <w:tblPr>
        <w:tblStyle w:val="af0"/>
        <w:tblW w:w="475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227"/>
      </w:tblGrid>
      <w:tr w:rsidR="003A38DB" w:rsidRPr="007E445B" w:rsidTr="00906665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– </w:t>
            </w:r>
            <w:r w:rsidRPr="004332D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A38DB" w:rsidRPr="004332DE" w:rsidRDefault="003A38DB" w:rsidP="00906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sz w:val="18"/>
                <w:szCs w:val="18"/>
              </w:rPr>
              <w:t xml:space="preserve">– по </w:t>
            </w:r>
            <w:proofErr w:type="gramStart"/>
            <w:r w:rsidRPr="004332DE">
              <w:rPr>
                <w:rFonts w:ascii="Times New Roman" w:hAnsi="Times New Roman" w:cs="Times New Roman"/>
                <w:sz w:val="18"/>
                <w:szCs w:val="18"/>
              </w:rPr>
              <w:t>Интернету–сайт</w:t>
            </w:r>
            <w:proofErr w:type="gramEnd"/>
            <w:r w:rsidRPr="004332DE">
              <w:rPr>
                <w:rFonts w:ascii="Times New Roman" w:hAnsi="Times New Roman" w:cs="Times New Roman"/>
                <w:sz w:val="18"/>
                <w:szCs w:val="18"/>
              </w:rPr>
              <w:t xml:space="preserve"> ФНС = @</w:t>
            </w:r>
          </w:p>
        </w:tc>
      </w:tr>
      <w:tr w:rsidR="003A38DB" w:rsidRPr="007E445B" w:rsidTr="00906665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– </w:t>
            </w:r>
            <w:r w:rsidRPr="004332D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A38DB" w:rsidRPr="004332DE" w:rsidRDefault="003A38DB" w:rsidP="00906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sz w:val="18"/>
                <w:szCs w:val="18"/>
              </w:rPr>
              <w:t>– через  ЛК–2 ЖАЛОБА</w:t>
            </w:r>
          </w:p>
        </w:tc>
      </w:tr>
      <w:tr w:rsidR="003A38DB" w:rsidRPr="007E445B" w:rsidTr="00906665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– </w:t>
            </w:r>
            <w:r w:rsidRPr="004332D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A38DB" w:rsidRPr="004332DE" w:rsidRDefault="003A38DB" w:rsidP="00906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sz w:val="18"/>
                <w:szCs w:val="18"/>
              </w:rPr>
              <w:t>– через  ЛК–3_ЮЛ</w:t>
            </w:r>
          </w:p>
        </w:tc>
      </w:tr>
      <w:tr w:rsidR="003A38DB" w:rsidRPr="007E445B" w:rsidTr="00906665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– </w:t>
            </w:r>
            <w:r w:rsidRPr="004332D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A38DB" w:rsidRPr="004332DE" w:rsidRDefault="003A38DB" w:rsidP="00906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sz w:val="18"/>
                <w:szCs w:val="18"/>
              </w:rPr>
              <w:t>– через  ЛК–ИП</w:t>
            </w:r>
          </w:p>
        </w:tc>
      </w:tr>
      <w:tr w:rsidR="003A38DB" w:rsidRPr="007E445B" w:rsidTr="00906665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– </w:t>
            </w:r>
            <w:r w:rsidRPr="004332D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A38DB" w:rsidRPr="004332DE" w:rsidRDefault="003A38DB" w:rsidP="00906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sz w:val="18"/>
                <w:szCs w:val="18"/>
              </w:rPr>
              <w:t>– ГП_3</w:t>
            </w:r>
          </w:p>
        </w:tc>
      </w:tr>
      <w:tr w:rsidR="003A38DB" w:rsidRPr="007E445B" w:rsidTr="00906665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– </w:t>
            </w:r>
            <w:r w:rsidRPr="004332D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A38DB" w:rsidRPr="004332DE" w:rsidRDefault="003A38DB" w:rsidP="00906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sz w:val="18"/>
                <w:szCs w:val="18"/>
              </w:rPr>
              <w:t>– через ФНС России   (ЦА)</w:t>
            </w:r>
          </w:p>
        </w:tc>
      </w:tr>
      <w:tr w:rsidR="003A38DB" w:rsidRPr="007E445B" w:rsidTr="00906665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– </w:t>
            </w:r>
            <w:r w:rsidRPr="004332D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A38DB" w:rsidRPr="004332DE" w:rsidRDefault="003A38DB" w:rsidP="00906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sz w:val="18"/>
                <w:szCs w:val="18"/>
              </w:rPr>
              <w:t>– через другой ТНО</w:t>
            </w:r>
          </w:p>
        </w:tc>
      </w:tr>
      <w:tr w:rsidR="003A38DB" w:rsidRPr="007E445B" w:rsidTr="00906665">
        <w:tc>
          <w:tcPr>
            <w:tcW w:w="675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– </w:t>
            </w:r>
            <w:r w:rsidRPr="004332D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3A38DB" w:rsidRPr="004332DE" w:rsidRDefault="003A38DB" w:rsidP="00906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sz w:val="18"/>
                <w:szCs w:val="18"/>
              </w:rPr>
              <w:t>– от  третьего лица</w:t>
            </w:r>
          </w:p>
        </w:tc>
      </w:tr>
      <w:tr w:rsidR="003A38DB" w:rsidRPr="007E445B" w:rsidTr="00906665">
        <w:trPr>
          <w:trHeight w:val="222"/>
        </w:trPr>
        <w:tc>
          <w:tcPr>
            <w:tcW w:w="675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– </w:t>
            </w:r>
            <w:r w:rsidRPr="004332DE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3A38DB" w:rsidRPr="004332DE" w:rsidRDefault="003A38DB" w:rsidP="0090666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7" w:type="dxa"/>
            <w:tcBorders>
              <w:bottom w:val="triple" w:sz="4" w:space="0" w:color="auto"/>
              <w:right w:val="double" w:sz="4" w:space="0" w:color="auto"/>
            </w:tcBorders>
          </w:tcPr>
          <w:p w:rsidR="003A38DB" w:rsidRPr="004332DE" w:rsidRDefault="003A38DB" w:rsidP="00906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32DE">
              <w:rPr>
                <w:rFonts w:ascii="Times New Roman" w:hAnsi="Times New Roman" w:cs="Times New Roman"/>
                <w:sz w:val="18"/>
                <w:szCs w:val="18"/>
              </w:rPr>
              <w:t xml:space="preserve">– лично (почтой), на бумаге </w:t>
            </w:r>
          </w:p>
        </w:tc>
      </w:tr>
    </w:tbl>
    <w:p w:rsidR="00ED358F" w:rsidRPr="003A38DB" w:rsidRDefault="00ED358F" w:rsidP="007B2445">
      <w:pPr>
        <w:ind w:firstLine="708"/>
        <w:jc w:val="both"/>
        <w:rPr>
          <w:color w:val="auto"/>
          <w:sz w:val="26"/>
          <w:szCs w:val="26"/>
        </w:rPr>
      </w:pPr>
      <w:r w:rsidRPr="003A38DB">
        <w:rPr>
          <w:color w:val="auto"/>
          <w:sz w:val="26"/>
          <w:szCs w:val="26"/>
        </w:rPr>
        <w:t>По способ</w:t>
      </w:r>
      <w:r w:rsidR="007B2445" w:rsidRPr="003A38DB">
        <w:rPr>
          <w:color w:val="auto"/>
          <w:sz w:val="26"/>
          <w:szCs w:val="26"/>
        </w:rPr>
        <w:t xml:space="preserve">у доставки обращения поступили: </w:t>
      </w:r>
      <w:r w:rsidR="00845C1B" w:rsidRPr="003A38DB">
        <w:rPr>
          <w:color w:val="auto"/>
          <w:sz w:val="26"/>
          <w:szCs w:val="26"/>
        </w:rPr>
        <w:t>С</w:t>
      </w:r>
      <w:r w:rsidRPr="003A38DB">
        <w:rPr>
          <w:color w:val="auto"/>
          <w:sz w:val="26"/>
          <w:szCs w:val="26"/>
        </w:rPr>
        <w:t>айт ФНС –</w:t>
      </w:r>
      <w:r w:rsidR="003A38DB" w:rsidRPr="003A38DB">
        <w:rPr>
          <w:bCs/>
          <w:iCs/>
          <w:color w:val="auto"/>
          <w:sz w:val="26"/>
          <w:szCs w:val="26"/>
        </w:rPr>
        <w:t xml:space="preserve">9 </w:t>
      </w:r>
      <w:r w:rsidR="003A38DB" w:rsidRPr="003A38DB">
        <w:rPr>
          <w:color w:val="auto"/>
          <w:sz w:val="26"/>
          <w:szCs w:val="26"/>
        </w:rPr>
        <w:t xml:space="preserve">(4,4%); </w:t>
      </w:r>
      <w:r w:rsidRPr="003A38DB">
        <w:rPr>
          <w:color w:val="auto"/>
          <w:sz w:val="26"/>
          <w:szCs w:val="26"/>
          <w:lang w:val="en-US"/>
        </w:rPr>
        <w:t>GOSUSLUGI</w:t>
      </w:r>
      <w:r w:rsidRPr="003A38DB">
        <w:rPr>
          <w:color w:val="auto"/>
          <w:sz w:val="26"/>
          <w:szCs w:val="26"/>
        </w:rPr>
        <w:t>.</w:t>
      </w:r>
      <w:r w:rsidRPr="003A38DB">
        <w:rPr>
          <w:color w:val="auto"/>
          <w:sz w:val="26"/>
          <w:szCs w:val="26"/>
          <w:lang w:val="en-US"/>
        </w:rPr>
        <w:t>RU</w:t>
      </w:r>
      <w:r w:rsidRPr="003A38DB">
        <w:rPr>
          <w:color w:val="auto"/>
          <w:sz w:val="26"/>
          <w:szCs w:val="26"/>
        </w:rPr>
        <w:t xml:space="preserve"> </w:t>
      </w:r>
      <w:r w:rsidRPr="003A38DB">
        <w:rPr>
          <w:bCs/>
          <w:iCs/>
          <w:color w:val="auto"/>
          <w:sz w:val="26"/>
          <w:szCs w:val="26"/>
        </w:rPr>
        <w:t xml:space="preserve">– </w:t>
      </w:r>
      <w:r w:rsidR="003A38DB" w:rsidRPr="003A38DB">
        <w:rPr>
          <w:bCs/>
          <w:iCs/>
          <w:color w:val="auto"/>
          <w:sz w:val="26"/>
          <w:szCs w:val="26"/>
        </w:rPr>
        <w:t>0</w:t>
      </w:r>
      <w:r w:rsidR="000D4811" w:rsidRPr="003A38DB">
        <w:rPr>
          <w:color w:val="auto"/>
          <w:sz w:val="26"/>
          <w:szCs w:val="26"/>
        </w:rPr>
        <w:t xml:space="preserve">; </w:t>
      </w:r>
      <w:r w:rsidRPr="003A38DB">
        <w:rPr>
          <w:color w:val="auto"/>
          <w:sz w:val="26"/>
          <w:szCs w:val="26"/>
        </w:rPr>
        <w:t>ЛК_ИП, ЛК_ЮЛ,</w:t>
      </w:r>
      <w:r w:rsidR="00845C1B" w:rsidRPr="003A38DB">
        <w:rPr>
          <w:color w:val="auto"/>
          <w:sz w:val="26"/>
          <w:szCs w:val="26"/>
        </w:rPr>
        <w:t xml:space="preserve"> </w:t>
      </w:r>
      <w:r w:rsidRPr="003A38DB">
        <w:rPr>
          <w:color w:val="auto"/>
          <w:sz w:val="26"/>
          <w:szCs w:val="26"/>
        </w:rPr>
        <w:t>ЛК-2 "ЖАЛОБА" –</w:t>
      </w:r>
      <w:r w:rsidR="00845C1B" w:rsidRPr="003A38DB">
        <w:rPr>
          <w:color w:val="auto"/>
          <w:sz w:val="26"/>
          <w:szCs w:val="26"/>
        </w:rPr>
        <w:t xml:space="preserve"> </w:t>
      </w:r>
      <w:r w:rsidR="003A38DB" w:rsidRPr="003A38DB">
        <w:rPr>
          <w:bCs/>
          <w:iCs/>
          <w:color w:val="auto"/>
          <w:sz w:val="26"/>
          <w:szCs w:val="26"/>
        </w:rPr>
        <w:t xml:space="preserve">148 </w:t>
      </w:r>
      <w:r w:rsidR="003A38DB" w:rsidRPr="003A38DB">
        <w:rPr>
          <w:color w:val="auto"/>
          <w:sz w:val="26"/>
          <w:szCs w:val="26"/>
        </w:rPr>
        <w:t xml:space="preserve">(71,8%); </w:t>
      </w:r>
      <w:r w:rsidRPr="003A38DB">
        <w:rPr>
          <w:color w:val="auto"/>
          <w:sz w:val="26"/>
          <w:szCs w:val="26"/>
        </w:rPr>
        <w:t xml:space="preserve">Бумага </w:t>
      </w:r>
      <w:r w:rsidRPr="003A38DB">
        <w:rPr>
          <w:bCs/>
          <w:iCs/>
          <w:color w:val="auto"/>
          <w:sz w:val="26"/>
          <w:szCs w:val="26"/>
        </w:rPr>
        <w:t>–</w:t>
      </w:r>
      <w:r w:rsidR="003A38DB" w:rsidRPr="003A38DB">
        <w:rPr>
          <w:bCs/>
          <w:iCs/>
          <w:color w:val="auto"/>
          <w:sz w:val="26"/>
          <w:szCs w:val="26"/>
        </w:rPr>
        <w:t xml:space="preserve">26 </w:t>
      </w:r>
      <w:r w:rsidR="003A38DB" w:rsidRPr="003A38DB">
        <w:rPr>
          <w:color w:val="auto"/>
          <w:sz w:val="26"/>
          <w:szCs w:val="26"/>
        </w:rPr>
        <w:t xml:space="preserve">(12,6%); </w:t>
      </w:r>
      <w:r w:rsidRPr="003A38DB">
        <w:rPr>
          <w:color w:val="auto"/>
          <w:sz w:val="26"/>
          <w:szCs w:val="26"/>
        </w:rPr>
        <w:t xml:space="preserve">СЭД </w:t>
      </w:r>
      <w:r w:rsidRPr="003A38DB">
        <w:rPr>
          <w:bCs/>
          <w:iCs/>
          <w:color w:val="auto"/>
          <w:sz w:val="26"/>
          <w:szCs w:val="26"/>
        </w:rPr>
        <w:t>–</w:t>
      </w:r>
      <w:r w:rsidR="00845C1B" w:rsidRPr="003A38DB">
        <w:rPr>
          <w:color w:val="auto"/>
          <w:sz w:val="26"/>
          <w:szCs w:val="26"/>
        </w:rPr>
        <w:t xml:space="preserve"> </w:t>
      </w:r>
      <w:r w:rsidR="003A38DB" w:rsidRPr="003A38DB">
        <w:rPr>
          <w:bCs/>
          <w:iCs/>
          <w:color w:val="auto"/>
          <w:sz w:val="26"/>
          <w:szCs w:val="26"/>
        </w:rPr>
        <w:t xml:space="preserve">23 </w:t>
      </w:r>
      <w:r w:rsidR="003A38DB" w:rsidRPr="003A38DB">
        <w:rPr>
          <w:color w:val="auto"/>
          <w:sz w:val="26"/>
          <w:szCs w:val="26"/>
        </w:rPr>
        <w:t xml:space="preserve">(11,2%); </w:t>
      </w:r>
      <w:r w:rsidRPr="003A38DB">
        <w:rPr>
          <w:color w:val="auto"/>
          <w:sz w:val="26"/>
          <w:szCs w:val="26"/>
        </w:rPr>
        <w:t xml:space="preserve">ГП_3 </w:t>
      </w:r>
      <w:r w:rsidR="003C20F6" w:rsidRPr="003A38DB">
        <w:rPr>
          <w:color w:val="auto"/>
          <w:sz w:val="26"/>
          <w:szCs w:val="26"/>
        </w:rPr>
        <w:t xml:space="preserve">– 0; </w:t>
      </w:r>
      <w:r w:rsidR="00845C1B" w:rsidRPr="003A38DB">
        <w:rPr>
          <w:color w:val="auto"/>
          <w:sz w:val="26"/>
          <w:szCs w:val="26"/>
        </w:rPr>
        <w:t>ЭП СКЗИ –</w:t>
      </w:r>
      <w:r w:rsidR="00845C1B" w:rsidRPr="003A38DB">
        <w:rPr>
          <w:bCs/>
          <w:color w:val="auto"/>
          <w:sz w:val="26"/>
          <w:szCs w:val="26"/>
        </w:rPr>
        <w:t xml:space="preserve"> </w:t>
      </w:r>
      <w:r w:rsidR="003A38DB" w:rsidRPr="003A38DB">
        <w:rPr>
          <w:bCs/>
          <w:color w:val="auto"/>
          <w:sz w:val="26"/>
          <w:szCs w:val="26"/>
        </w:rPr>
        <w:t>0</w:t>
      </w:r>
      <w:r w:rsidR="00845C1B" w:rsidRPr="003A38DB">
        <w:rPr>
          <w:color w:val="auto"/>
          <w:sz w:val="26"/>
          <w:szCs w:val="26"/>
        </w:rPr>
        <w:t>.</w:t>
      </w:r>
    </w:p>
    <w:p w:rsidR="003C20F6" w:rsidRPr="003A38DB" w:rsidRDefault="003A38DB" w:rsidP="00845C1B">
      <w:pPr>
        <w:ind w:right="-57" w:firstLine="708"/>
        <w:jc w:val="both"/>
        <w:rPr>
          <w:color w:val="auto"/>
          <w:sz w:val="26"/>
          <w:szCs w:val="26"/>
        </w:rPr>
      </w:pPr>
      <w:r w:rsidRPr="003A38DB">
        <w:rPr>
          <w:color w:val="auto"/>
          <w:sz w:val="26"/>
          <w:szCs w:val="26"/>
        </w:rPr>
        <w:t>Из 206</w:t>
      </w:r>
      <w:r w:rsidR="003C20F6" w:rsidRPr="003A38DB">
        <w:rPr>
          <w:color w:val="auto"/>
          <w:sz w:val="26"/>
          <w:szCs w:val="26"/>
        </w:rPr>
        <w:t xml:space="preserve"> обращений поступило – </w:t>
      </w:r>
      <w:r w:rsidRPr="003A38DB">
        <w:rPr>
          <w:bCs/>
          <w:color w:val="auto"/>
          <w:sz w:val="26"/>
          <w:szCs w:val="26"/>
        </w:rPr>
        <w:t>137</w:t>
      </w:r>
      <w:r w:rsidR="000D4811" w:rsidRPr="003A38DB">
        <w:rPr>
          <w:bCs/>
          <w:color w:val="auto"/>
          <w:sz w:val="26"/>
          <w:szCs w:val="26"/>
        </w:rPr>
        <w:t> (6</w:t>
      </w:r>
      <w:r w:rsidRPr="003A38DB">
        <w:rPr>
          <w:bCs/>
          <w:color w:val="auto"/>
          <w:sz w:val="26"/>
          <w:szCs w:val="26"/>
        </w:rPr>
        <w:t>1</w:t>
      </w:r>
      <w:r w:rsidR="000D4811" w:rsidRPr="003A38DB">
        <w:rPr>
          <w:bCs/>
          <w:color w:val="auto"/>
          <w:sz w:val="26"/>
          <w:szCs w:val="26"/>
        </w:rPr>
        <w:t>,</w:t>
      </w:r>
      <w:r w:rsidRPr="003A38DB">
        <w:rPr>
          <w:bCs/>
          <w:color w:val="auto"/>
          <w:sz w:val="26"/>
          <w:szCs w:val="26"/>
        </w:rPr>
        <w:t>9</w:t>
      </w:r>
      <w:r w:rsidR="00F07AD7" w:rsidRPr="003A38DB">
        <w:rPr>
          <w:bCs/>
          <w:color w:val="auto"/>
          <w:sz w:val="26"/>
          <w:szCs w:val="26"/>
        </w:rPr>
        <w:t>%) от</w:t>
      </w:r>
      <w:r w:rsidRPr="003A38DB">
        <w:rPr>
          <w:bCs/>
          <w:color w:val="auto"/>
          <w:sz w:val="26"/>
          <w:szCs w:val="26"/>
        </w:rPr>
        <w:t xml:space="preserve"> юридических и – 69</w:t>
      </w:r>
      <w:r w:rsidRPr="003A38DB">
        <w:rPr>
          <w:color w:val="auto"/>
          <w:sz w:val="26"/>
          <w:szCs w:val="26"/>
        </w:rPr>
        <w:t> (38</w:t>
      </w:r>
      <w:r w:rsidR="00845C1B" w:rsidRPr="003A38DB">
        <w:rPr>
          <w:color w:val="auto"/>
          <w:sz w:val="26"/>
          <w:szCs w:val="26"/>
        </w:rPr>
        <w:t>,</w:t>
      </w:r>
      <w:r w:rsidRPr="003A38DB">
        <w:rPr>
          <w:color w:val="auto"/>
          <w:sz w:val="26"/>
          <w:szCs w:val="26"/>
        </w:rPr>
        <w:t>1</w:t>
      </w:r>
      <w:r w:rsidR="003C20F6" w:rsidRPr="003A38DB">
        <w:rPr>
          <w:color w:val="auto"/>
          <w:sz w:val="26"/>
          <w:szCs w:val="26"/>
        </w:rPr>
        <w:t>%) от физических лиц.</w:t>
      </w:r>
    </w:p>
    <w:p w:rsidR="003A38DB" w:rsidRPr="004332DE" w:rsidRDefault="003A38DB" w:rsidP="003A38DB">
      <w:pPr>
        <w:ind w:left="93" w:firstLine="615"/>
        <w:rPr>
          <w:sz w:val="26"/>
          <w:szCs w:val="26"/>
        </w:rPr>
      </w:pPr>
      <w:r w:rsidRPr="004332DE">
        <w:rPr>
          <w:sz w:val="26"/>
          <w:szCs w:val="26"/>
        </w:rPr>
        <w:t>Тематика задаваемых вопросов в процентном отношении от общего количества зарегистрированных обращений в Управлении, составляет:</w:t>
      </w:r>
    </w:p>
    <w:tbl>
      <w:tblPr>
        <w:tblW w:w="9655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866"/>
        <w:gridCol w:w="7924"/>
      </w:tblGrid>
      <w:tr w:rsidR="003A38DB" w:rsidRPr="004332DE" w:rsidTr="0094504B">
        <w:trPr>
          <w:cantSplit/>
          <w:trHeight w:val="34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b/>
                <w:noProof/>
                <w:sz w:val="20"/>
              </w:rPr>
            </w:pPr>
            <w:r w:rsidRPr="00C725C2">
              <w:rPr>
                <w:b/>
                <w:noProof/>
                <w:sz w:val="20"/>
              </w:rPr>
              <w:t>– 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sz w:val="20"/>
              </w:rPr>
            </w:pPr>
            <w:r w:rsidRPr="00C725C2">
              <w:rPr>
                <w:sz w:val="20"/>
              </w:rPr>
              <w:t>(32,5%)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38DB" w:rsidRPr="00C725C2" w:rsidRDefault="003A38DB" w:rsidP="0094504B">
            <w:pPr>
              <w:rPr>
                <w:noProof/>
                <w:sz w:val="20"/>
              </w:rPr>
            </w:pPr>
            <w:r w:rsidRPr="00C725C2">
              <w:rPr>
                <w:noProof/>
                <w:sz w:val="20"/>
              </w:rPr>
              <w:t>Учет налогоплательщиков. Получение и отказ от ИНН</w:t>
            </w:r>
          </w:p>
        </w:tc>
      </w:tr>
      <w:tr w:rsidR="003A38DB" w:rsidRPr="004332DE" w:rsidTr="0094504B">
        <w:trPr>
          <w:cantSplit/>
          <w:trHeight w:val="34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b/>
                <w:noProof/>
                <w:sz w:val="20"/>
              </w:rPr>
            </w:pPr>
            <w:r w:rsidRPr="00C725C2">
              <w:rPr>
                <w:b/>
                <w:noProof/>
                <w:sz w:val="20"/>
              </w:rPr>
              <w:t>– по 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sz w:val="20"/>
              </w:rPr>
            </w:pPr>
            <w:r w:rsidRPr="00C725C2">
              <w:rPr>
                <w:sz w:val="20"/>
              </w:rPr>
              <w:t>(12,1%)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38DB" w:rsidRPr="00C725C2" w:rsidRDefault="003A38DB" w:rsidP="0094504B">
            <w:pPr>
              <w:rPr>
                <w:noProof/>
                <w:sz w:val="20"/>
              </w:rPr>
            </w:pPr>
            <w:r w:rsidRPr="00C725C2">
              <w:rPr>
                <w:noProof/>
                <w:sz w:val="20"/>
              </w:rPr>
              <w:t>Организация работы с налогоплательщиками; Оказание услуг в электронной форме. Пользование информационными ресурсами;</w:t>
            </w:r>
          </w:p>
        </w:tc>
      </w:tr>
      <w:tr w:rsidR="003A38DB" w:rsidRPr="004332DE" w:rsidTr="0094504B">
        <w:trPr>
          <w:cantSplit/>
          <w:trHeight w:val="34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– </w:t>
            </w:r>
            <w:r w:rsidRPr="00C725C2">
              <w:rPr>
                <w:b/>
                <w:noProof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sz w:val="20"/>
              </w:rPr>
            </w:pPr>
            <w:r w:rsidRPr="00C725C2">
              <w:rPr>
                <w:sz w:val="20"/>
              </w:rPr>
              <w:t>(7,8%)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38DB" w:rsidRPr="00C725C2" w:rsidRDefault="003A38DB" w:rsidP="0094504B">
            <w:pPr>
              <w:rPr>
                <w:noProof/>
                <w:sz w:val="20"/>
              </w:rPr>
            </w:pPr>
            <w:r w:rsidRPr="00C725C2">
              <w:rPr>
                <w:noProof/>
                <w:sz w:val="20"/>
              </w:rPr>
              <w:t>Возврат или зачет излишне уплаченных или излишне взысканных сумм налогов, сборов, взносов, пеней и штрафов;</w:t>
            </w:r>
          </w:p>
        </w:tc>
      </w:tr>
      <w:tr w:rsidR="003A38DB" w:rsidRPr="004332DE" w:rsidTr="0094504B">
        <w:trPr>
          <w:cantSplit/>
          <w:trHeight w:val="34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– </w:t>
            </w:r>
            <w:r w:rsidRPr="00C725C2">
              <w:rPr>
                <w:b/>
                <w:noProof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sz w:val="20"/>
              </w:rPr>
            </w:pPr>
            <w:r w:rsidRPr="00C725C2">
              <w:rPr>
                <w:sz w:val="20"/>
              </w:rPr>
              <w:t>(5,3%)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38DB" w:rsidRPr="00C725C2" w:rsidRDefault="003A38DB" w:rsidP="0094504B">
            <w:pPr>
              <w:rPr>
                <w:noProof/>
                <w:sz w:val="20"/>
              </w:rPr>
            </w:pPr>
            <w:r w:rsidRPr="00C725C2">
              <w:rPr>
                <w:noProof/>
                <w:sz w:val="20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лиц;</w:t>
            </w:r>
          </w:p>
        </w:tc>
      </w:tr>
      <w:tr w:rsidR="003A38DB" w:rsidRPr="004332DE" w:rsidTr="0094504B">
        <w:trPr>
          <w:cantSplit/>
          <w:trHeight w:val="34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– </w:t>
            </w:r>
            <w:r w:rsidRPr="00C725C2">
              <w:rPr>
                <w:b/>
                <w:noProof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DB" w:rsidRPr="00C725C2" w:rsidRDefault="003A38DB" w:rsidP="0094504B">
            <w:pPr>
              <w:rPr>
                <w:sz w:val="20"/>
              </w:rPr>
            </w:pPr>
            <w:r w:rsidRPr="00C725C2">
              <w:rPr>
                <w:sz w:val="20"/>
              </w:rPr>
              <w:t>(3,9%)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38DB" w:rsidRPr="00C725C2" w:rsidRDefault="003A38DB" w:rsidP="0094504B">
            <w:pPr>
              <w:rPr>
                <w:noProof/>
                <w:sz w:val="20"/>
              </w:rPr>
            </w:pPr>
            <w:r w:rsidRPr="00C725C2">
              <w:rPr>
                <w:noProof/>
                <w:sz w:val="20"/>
              </w:rPr>
              <w:t>Контроль и надзор в налоговой сфере.</w:t>
            </w:r>
          </w:p>
        </w:tc>
      </w:tr>
    </w:tbl>
    <w:p w:rsidR="003A38DB" w:rsidRPr="001E6553" w:rsidRDefault="003A38DB" w:rsidP="003A38DB">
      <w:pPr>
        <w:ind w:left="-34" w:firstLine="742"/>
        <w:jc w:val="both"/>
        <w:rPr>
          <w:sz w:val="26"/>
          <w:szCs w:val="26"/>
        </w:rPr>
      </w:pPr>
      <w:r w:rsidRPr="001E6553">
        <w:rPr>
          <w:sz w:val="26"/>
          <w:szCs w:val="26"/>
        </w:rPr>
        <w:t>По остальным категориям процентное соотношение составляет от 0,5% (1) до 3,4 % (7) от общего  количества поступивших  обращений, соответственно.</w:t>
      </w:r>
    </w:p>
    <w:p w:rsidR="003A38DB" w:rsidRPr="004332DE" w:rsidRDefault="003A38DB" w:rsidP="003A38DB">
      <w:pPr>
        <w:ind w:firstLine="708"/>
        <w:jc w:val="both"/>
        <w:rPr>
          <w:sz w:val="26"/>
          <w:szCs w:val="26"/>
        </w:rPr>
      </w:pPr>
      <w:r w:rsidRPr="004332DE">
        <w:rPr>
          <w:sz w:val="26"/>
          <w:szCs w:val="26"/>
        </w:rPr>
        <w:t>В анализируемом периоде категория "Особая важность" было присвоено 2-м обращениям. Срок наложен на все поступившие обращения. Без рассмотрения обращения не оставлялись. Повторные обращения не поступали</w:t>
      </w:r>
      <w:proofErr w:type="gramStart"/>
      <w:r w:rsidRPr="004332DE">
        <w:rPr>
          <w:sz w:val="26"/>
          <w:szCs w:val="26"/>
        </w:rPr>
        <w:t xml:space="preserve"> .</w:t>
      </w:r>
      <w:proofErr w:type="gramEnd"/>
      <w:r w:rsidRPr="004332DE">
        <w:rPr>
          <w:sz w:val="26"/>
          <w:szCs w:val="26"/>
        </w:rPr>
        <w:t xml:space="preserve">Обращения не отзывались. Срок исполнения не продлевался. Поступило из других ТНО (в </w:t>
      </w:r>
      <w:proofErr w:type="spellStart"/>
      <w:r w:rsidRPr="004332DE">
        <w:rPr>
          <w:sz w:val="26"/>
          <w:szCs w:val="26"/>
        </w:rPr>
        <w:t>т.ч</w:t>
      </w:r>
      <w:proofErr w:type="spellEnd"/>
      <w:r w:rsidRPr="004332DE">
        <w:rPr>
          <w:sz w:val="26"/>
          <w:szCs w:val="26"/>
        </w:rPr>
        <w:t>. из ФНС России) – 22 обращения. Размещено на портале ССТУ</w:t>
      </w:r>
      <w:proofErr w:type="gramStart"/>
      <w:r w:rsidRPr="004332DE">
        <w:rPr>
          <w:sz w:val="26"/>
          <w:szCs w:val="26"/>
        </w:rPr>
        <w:t>.Р</w:t>
      </w:r>
      <w:proofErr w:type="gramEnd"/>
      <w:r w:rsidRPr="004332DE">
        <w:rPr>
          <w:sz w:val="26"/>
          <w:szCs w:val="26"/>
        </w:rPr>
        <w:t>Ф –11 обращений. Перенаправлено в иной ТНО (по подведомственности) – 11 обращений. Ответ заявителю дан другим НО – на 2 обращения. В другие ведомства для рассмотрения по компетенции обращения не перенаправлялись. Обращения-запросы пользователей информации в соответствии с законом от 09.02.2009 №8-ФЗ – не поступали.</w:t>
      </w:r>
    </w:p>
    <w:p w:rsidR="003A38DB" w:rsidRPr="004332DE" w:rsidRDefault="003A38DB" w:rsidP="003A38DB">
      <w:pPr>
        <w:ind w:firstLine="708"/>
        <w:jc w:val="both"/>
        <w:rPr>
          <w:sz w:val="16"/>
          <w:szCs w:val="16"/>
        </w:rPr>
      </w:pPr>
    </w:p>
    <w:p w:rsidR="003A38DB" w:rsidRPr="003A38DB" w:rsidRDefault="003A38DB" w:rsidP="003A38DB">
      <w:pPr>
        <w:ind w:firstLine="708"/>
        <w:jc w:val="both"/>
        <w:rPr>
          <w:sz w:val="26"/>
          <w:szCs w:val="26"/>
        </w:rPr>
      </w:pPr>
      <w:r w:rsidRPr="003A38DB">
        <w:rPr>
          <w:sz w:val="26"/>
          <w:szCs w:val="26"/>
        </w:rPr>
        <w:lastRenderedPageBreak/>
        <w:t>По территориальной принадлежности заявители, направившие обращения в отчетном периоде, проживают в следующих регионах Российской Федерации:</w:t>
      </w:r>
      <w:r>
        <w:rPr>
          <w:sz w:val="26"/>
          <w:szCs w:val="26"/>
        </w:rPr>
        <w:t xml:space="preserve"> </w:t>
      </w:r>
      <w:r w:rsidRPr="003A38DB">
        <w:rPr>
          <w:sz w:val="26"/>
          <w:szCs w:val="26"/>
        </w:rPr>
        <w:t xml:space="preserve">Республика Мордовия\по районам РМ </w:t>
      </w:r>
      <w:r w:rsidRPr="003A38DB">
        <w:rPr>
          <w:bCs/>
          <w:sz w:val="26"/>
          <w:szCs w:val="26"/>
        </w:rPr>
        <w:t xml:space="preserve">– 17 </w:t>
      </w:r>
      <w:r w:rsidRPr="003A38DB">
        <w:rPr>
          <w:sz w:val="26"/>
          <w:szCs w:val="26"/>
        </w:rPr>
        <w:t xml:space="preserve">(8,3 %); Республика Мордовия\ГО Саранск </w:t>
      </w:r>
      <w:r w:rsidRPr="003A38DB">
        <w:rPr>
          <w:bCs/>
          <w:sz w:val="26"/>
          <w:szCs w:val="26"/>
        </w:rPr>
        <w:t xml:space="preserve">– 15 </w:t>
      </w:r>
      <w:r w:rsidRPr="003A38DB">
        <w:rPr>
          <w:sz w:val="26"/>
          <w:szCs w:val="26"/>
        </w:rPr>
        <w:t xml:space="preserve">(7,3 %); Республика Мордовия </w:t>
      </w:r>
      <w:r w:rsidRPr="003A38DB">
        <w:rPr>
          <w:bCs/>
          <w:sz w:val="26"/>
          <w:szCs w:val="26"/>
        </w:rPr>
        <w:t xml:space="preserve">– 8 </w:t>
      </w:r>
      <w:r w:rsidRPr="003A38DB">
        <w:rPr>
          <w:sz w:val="26"/>
          <w:szCs w:val="26"/>
        </w:rPr>
        <w:t xml:space="preserve">(3,9 %); Нижегородская область </w:t>
      </w:r>
      <w:r w:rsidRPr="003A38DB">
        <w:rPr>
          <w:bCs/>
          <w:sz w:val="26"/>
          <w:szCs w:val="26"/>
        </w:rPr>
        <w:t xml:space="preserve">– 1 </w:t>
      </w:r>
      <w:r w:rsidRPr="003A38DB">
        <w:rPr>
          <w:sz w:val="26"/>
          <w:szCs w:val="26"/>
        </w:rPr>
        <w:t xml:space="preserve">(0,5 %); Ростовская область </w:t>
      </w:r>
      <w:r w:rsidRPr="003A38DB">
        <w:rPr>
          <w:bCs/>
          <w:sz w:val="26"/>
          <w:szCs w:val="26"/>
        </w:rPr>
        <w:t xml:space="preserve">– 1 </w:t>
      </w:r>
      <w:r w:rsidRPr="003A38DB">
        <w:rPr>
          <w:sz w:val="26"/>
          <w:szCs w:val="26"/>
        </w:rPr>
        <w:t xml:space="preserve">(0,5 %); Ульяновская область </w:t>
      </w:r>
      <w:r w:rsidRPr="003A38DB">
        <w:rPr>
          <w:bCs/>
          <w:sz w:val="26"/>
          <w:szCs w:val="26"/>
        </w:rPr>
        <w:t xml:space="preserve">– 1 </w:t>
      </w:r>
      <w:r w:rsidRPr="003A38DB">
        <w:rPr>
          <w:sz w:val="26"/>
          <w:szCs w:val="26"/>
        </w:rPr>
        <w:t xml:space="preserve">(0,5 %); г. Москва </w:t>
      </w:r>
      <w:r w:rsidRPr="003A38DB">
        <w:rPr>
          <w:bCs/>
          <w:sz w:val="26"/>
          <w:szCs w:val="26"/>
        </w:rPr>
        <w:t xml:space="preserve">– 4 </w:t>
      </w:r>
      <w:r w:rsidRPr="003A38DB">
        <w:rPr>
          <w:sz w:val="26"/>
          <w:szCs w:val="26"/>
        </w:rPr>
        <w:t xml:space="preserve">(1,9 %); Без адреса (по </w:t>
      </w:r>
      <w:proofErr w:type="gramStart"/>
      <w:r w:rsidRPr="003A38DB">
        <w:rPr>
          <w:sz w:val="26"/>
          <w:szCs w:val="26"/>
        </w:rPr>
        <w:t>@-</w:t>
      </w:r>
      <w:proofErr w:type="gramEnd"/>
      <w:r w:rsidRPr="003A38DB">
        <w:rPr>
          <w:sz w:val="26"/>
          <w:szCs w:val="26"/>
        </w:rPr>
        <w:t xml:space="preserve">почте) </w:t>
      </w:r>
      <w:r w:rsidRPr="003A38DB">
        <w:rPr>
          <w:bCs/>
          <w:sz w:val="26"/>
          <w:szCs w:val="26"/>
        </w:rPr>
        <w:t>– 159</w:t>
      </w:r>
      <w:r w:rsidRPr="003A38DB">
        <w:rPr>
          <w:sz w:val="26"/>
          <w:szCs w:val="26"/>
        </w:rPr>
        <w:t>(77,2 %).</w:t>
      </w:r>
    </w:p>
    <w:p w:rsidR="003A38DB" w:rsidRPr="003A38DB" w:rsidRDefault="003A38DB" w:rsidP="003A38DB">
      <w:pPr>
        <w:ind w:right="-2" w:firstLine="708"/>
        <w:jc w:val="both"/>
        <w:rPr>
          <w:color w:val="FF0000"/>
          <w:sz w:val="26"/>
          <w:szCs w:val="26"/>
        </w:rPr>
      </w:pPr>
    </w:p>
    <w:p w:rsidR="003A38DB" w:rsidRPr="00C725C2" w:rsidRDefault="003A38DB" w:rsidP="003A38DB">
      <w:pPr>
        <w:ind w:right="-2" w:firstLine="708"/>
        <w:jc w:val="both"/>
        <w:rPr>
          <w:noProof/>
          <w:sz w:val="26"/>
          <w:szCs w:val="26"/>
        </w:rPr>
      </w:pPr>
      <w:r w:rsidRPr="00C725C2">
        <w:rPr>
          <w:sz w:val="26"/>
          <w:szCs w:val="26"/>
        </w:rPr>
        <w:t>В целом, в базе данных "ЗГ", с учетом обращений, п</w:t>
      </w:r>
      <w:r w:rsidR="00A75193">
        <w:rPr>
          <w:sz w:val="26"/>
          <w:szCs w:val="26"/>
        </w:rPr>
        <w:t>ерешедших с прошлого периода (47</w:t>
      </w:r>
      <w:r w:rsidRPr="00C725C2">
        <w:rPr>
          <w:sz w:val="26"/>
          <w:szCs w:val="26"/>
        </w:rPr>
        <w:t>), на исполнении находи</w:t>
      </w:r>
      <w:r w:rsidR="00A75193">
        <w:rPr>
          <w:sz w:val="26"/>
          <w:szCs w:val="26"/>
        </w:rPr>
        <w:t>лось 253 обращения, из них по 49</w:t>
      </w:r>
      <w:r w:rsidRPr="00C725C2">
        <w:rPr>
          <w:sz w:val="26"/>
          <w:szCs w:val="26"/>
        </w:rPr>
        <w:t>-и обращениям, срок исполнения в отчетном месяце не наступи</w:t>
      </w:r>
      <w:r w:rsidR="00A75193">
        <w:rPr>
          <w:sz w:val="26"/>
          <w:szCs w:val="26"/>
        </w:rPr>
        <w:t>л. По результатам исполнения 204</w:t>
      </w:r>
      <w:r w:rsidRPr="00C725C2">
        <w:rPr>
          <w:sz w:val="26"/>
          <w:szCs w:val="26"/>
        </w:rPr>
        <w:t>-и обращений:</w:t>
      </w:r>
      <w:r w:rsidRPr="00C725C2">
        <w:rPr>
          <w:noProof/>
          <w:sz w:val="26"/>
          <w:szCs w:val="26"/>
        </w:rPr>
        <w:t xml:space="preserve"> удовлетворено – 65; Дано разъяснение – 117; Направлено письмо –</w:t>
      </w:r>
      <w:r w:rsidR="00A75193">
        <w:rPr>
          <w:noProof/>
          <w:sz w:val="26"/>
          <w:szCs w:val="26"/>
        </w:rPr>
        <w:t xml:space="preserve"> 22</w:t>
      </w:r>
      <w:r w:rsidRPr="00C725C2">
        <w:rPr>
          <w:noProof/>
          <w:sz w:val="26"/>
          <w:szCs w:val="26"/>
        </w:rPr>
        <w:t>; Отклонено (не подтвердились сигналы) – 0.</w:t>
      </w:r>
    </w:p>
    <w:p w:rsidR="003A38DB" w:rsidRPr="00C725C2" w:rsidRDefault="003A38DB" w:rsidP="003A38DB">
      <w:pPr>
        <w:widowControl w:val="0"/>
        <w:ind w:firstLine="709"/>
        <w:jc w:val="both"/>
        <w:rPr>
          <w:sz w:val="26"/>
          <w:szCs w:val="26"/>
        </w:rPr>
      </w:pPr>
      <w:r w:rsidRPr="00C725C2">
        <w:rPr>
          <w:sz w:val="26"/>
          <w:szCs w:val="26"/>
        </w:rPr>
        <w:t xml:space="preserve">По всем поступившим обращениям граждан за отчетный период специалистами Управления в установленные сроки даны исчерпывающие письменные разъяснения налогового законодательства, а также подготовлены и направлены решения по вопросам восстановления нарушенных прав заявителя актами налоговых органов или действиями (бездействиями) должностных лиц налоговых органов. Из общего количества обращений, с наступившим сроком исполнения нарушение срока отсутствует. </w:t>
      </w:r>
    </w:p>
    <w:p w:rsidR="003A38DB" w:rsidRPr="00641B94" w:rsidRDefault="003A38DB" w:rsidP="003A38DB">
      <w:pPr>
        <w:ind w:firstLine="708"/>
        <w:jc w:val="both"/>
        <w:rPr>
          <w:sz w:val="26"/>
          <w:szCs w:val="26"/>
        </w:rPr>
      </w:pPr>
      <w:r w:rsidRPr="00641B94">
        <w:rPr>
          <w:sz w:val="26"/>
          <w:szCs w:val="26"/>
        </w:rPr>
        <w:t>На Личный прием к Руководителю (зам.руководителя) Управления ФНС России  по Республике Мордовия в апреле 2024 года заявители не обращались</w:t>
      </w:r>
    </w:p>
    <w:p w:rsidR="003A38DB" w:rsidRPr="00C005DC" w:rsidRDefault="003A38DB" w:rsidP="003A38DB">
      <w:pPr>
        <w:ind w:firstLine="708"/>
        <w:jc w:val="both"/>
        <w:rPr>
          <w:sz w:val="26"/>
          <w:szCs w:val="26"/>
        </w:rPr>
      </w:pPr>
    </w:p>
    <w:p w:rsidR="00654765" w:rsidRPr="00F07AD7" w:rsidRDefault="00654765" w:rsidP="00A51486">
      <w:pPr>
        <w:jc w:val="both"/>
        <w:rPr>
          <w:color w:val="auto"/>
          <w:sz w:val="26"/>
          <w:szCs w:val="26"/>
        </w:rPr>
      </w:pPr>
    </w:p>
    <w:p w:rsidR="00F94BFE" w:rsidRPr="002A1029" w:rsidRDefault="00F94BFE" w:rsidP="00F94BFE">
      <w:pPr>
        <w:jc w:val="both"/>
        <w:rPr>
          <w:color w:val="auto"/>
          <w:sz w:val="26"/>
          <w:szCs w:val="26"/>
        </w:rPr>
      </w:pPr>
    </w:p>
    <w:p w:rsidR="00F94BFE" w:rsidRPr="002A1029" w:rsidRDefault="00F94BFE" w:rsidP="00F94BFE">
      <w:pPr>
        <w:jc w:val="both"/>
        <w:rPr>
          <w:color w:val="auto"/>
          <w:sz w:val="26"/>
          <w:szCs w:val="26"/>
        </w:rPr>
      </w:pPr>
    </w:p>
    <w:p w:rsidR="002A1029" w:rsidRPr="006B1219" w:rsidRDefault="002A1029">
      <w:pPr>
        <w:rPr>
          <w:color w:val="auto"/>
          <w:sz w:val="25"/>
        </w:rPr>
      </w:pPr>
      <w:bookmarkStart w:id="0" w:name="_GoBack"/>
      <w:bookmarkEnd w:id="0"/>
    </w:p>
    <w:sectPr w:rsidR="002A1029" w:rsidRPr="006B1219" w:rsidSect="005535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BC" w:rsidRDefault="00B838BC">
      <w:r>
        <w:separator/>
      </w:r>
    </w:p>
  </w:endnote>
  <w:endnote w:type="continuationSeparator" w:id="0">
    <w:p w:rsidR="00B838BC" w:rsidRDefault="00B8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Default="0049131C" w:rsidP="0049131C">
    <w:pPr>
      <w:ind w:right="-4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1C" w:rsidRPr="00A621F0" w:rsidRDefault="0049131C">
    <w:pPr>
      <w:pStyle w:val="a3"/>
      <w:rPr>
        <w:color w:val="FF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D5" w:rsidRDefault="004B23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BC" w:rsidRDefault="00B838BC">
      <w:r>
        <w:separator/>
      </w:r>
    </w:p>
  </w:footnote>
  <w:footnote w:type="continuationSeparator" w:id="0">
    <w:p w:rsidR="00B838BC" w:rsidRDefault="00B8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10B4C">
      <w:rPr>
        <w:noProof/>
      </w:rPr>
      <w:t>2</w:t>
    </w:r>
    <w:r>
      <w:fldChar w:fldCharType="end"/>
    </w:r>
  </w:p>
  <w:p w:rsidR="00496752" w:rsidRDefault="0049675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52" w:rsidRDefault="00496752">
    <w:pPr>
      <w:pStyle w:val="aa"/>
      <w:tabs>
        <w:tab w:val="clear" w:pos="9355"/>
      </w:tabs>
      <w:ind w:right="-711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D5" w:rsidRDefault="004B23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216F4"/>
    <w:rsid w:val="00024160"/>
    <w:rsid w:val="00031AE4"/>
    <w:rsid w:val="000324A6"/>
    <w:rsid w:val="000461C5"/>
    <w:rsid w:val="00061C97"/>
    <w:rsid w:val="00092984"/>
    <w:rsid w:val="000A495E"/>
    <w:rsid w:val="000B17C3"/>
    <w:rsid w:val="000B4CF4"/>
    <w:rsid w:val="000C45F7"/>
    <w:rsid w:val="000C6095"/>
    <w:rsid w:val="000D1430"/>
    <w:rsid w:val="000D288C"/>
    <w:rsid w:val="000D4811"/>
    <w:rsid w:val="000D5F80"/>
    <w:rsid w:val="000F0956"/>
    <w:rsid w:val="0010136E"/>
    <w:rsid w:val="00110B4C"/>
    <w:rsid w:val="00116430"/>
    <w:rsid w:val="001210EF"/>
    <w:rsid w:val="00127102"/>
    <w:rsid w:val="00132611"/>
    <w:rsid w:val="00132A73"/>
    <w:rsid w:val="00137EDA"/>
    <w:rsid w:val="00142468"/>
    <w:rsid w:val="001462EC"/>
    <w:rsid w:val="0016244F"/>
    <w:rsid w:val="0016745C"/>
    <w:rsid w:val="00170FAD"/>
    <w:rsid w:val="0018538B"/>
    <w:rsid w:val="0019413F"/>
    <w:rsid w:val="001968EF"/>
    <w:rsid w:val="001B17E8"/>
    <w:rsid w:val="001B1865"/>
    <w:rsid w:val="001E4B28"/>
    <w:rsid w:val="001E5DFA"/>
    <w:rsid w:val="001F54F4"/>
    <w:rsid w:val="001F58F6"/>
    <w:rsid w:val="00203E7F"/>
    <w:rsid w:val="00212347"/>
    <w:rsid w:val="00215974"/>
    <w:rsid w:val="00216490"/>
    <w:rsid w:val="0022459A"/>
    <w:rsid w:val="00226E48"/>
    <w:rsid w:val="00237E51"/>
    <w:rsid w:val="00251A1E"/>
    <w:rsid w:val="00256053"/>
    <w:rsid w:val="002A0D54"/>
    <w:rsid w:val="002A1029"/>
    <w:rsid w:val="002A5661"/>
    <w:rsid w:val="002C646D"/>
    <w:rsid w:val="002E632D"/>
    <w:rsid w:val="002E7205"/>
    <w:rsid w:val="002F3F10"/>
    <w:rsid w:val="002F545A"/>
    <w:rsid w:val="002F6DD0"/>
    <w:rsid w:val="0030067F"/>
    <w:rsid w:val="003040ED"/>
    <w:rsid w:val="003135E9"/>
    <w:rsid w:val="00316EC5"/>
    <w:rsid w:val="003212D9"/>
    <w:rsid w:val="003255D2"/>
    <w:rsid w:val="00341AD5"/>
    <w:rsid w:val="003523EC"/>
    <w:rsid w:val="003744B4"/>
    <w:rsid w:val="00375AFD"/>
    <w:rsid w:val="003837CB"/>
    <w:rsid w:val="003873FE"/>
    <w:rsid w:val="003A0EF6"/>
    <w:rsid w:val="003A38DB"/>
    <w:rsid w:val="003A51AC"/>
    <w:rsid w:val="003B6C11"/>
    <w:rsid w:val="003C20F6"/>
    <w:rsid w:val="003C526C"/>
    <w:rsid w:val="003C7FD6"/>
    <w:rsid w:val="003E0BD9"/>
    <w:rsid w:val="003E0CD8"/>
    <w:rsid w:val="003F102D"/>
    <w:rsid w:val="003F1A82"/>
    <w:rsid w:val="003F3E5F"/>
    <w:rsid w:val="003F5DE7"/>
    <w:rsid w:val="003F7B49"/>
    <w:rsid w:val="004117E6"/>
    <w:rsid w:val="00412AF2"/>
    <w:rsid w:val="00413F0E"/>
    <w:rsid w:val="004162B0"/>
    <w:rsid w:val="0042559E"/>
    <w:rsid w:val="00433BF1"/>
    <w:rsid w:val="00434117"/>
    <w:rsid w:val="004352F2"/>
    <w:rsid w:val="00443EE5"/>
    <w:rsid w:val="0046399A"/>
    <w:rsid w:val="00464102"/>
    <w:rsid w:val="00474F53"/>
    <w:rsid w:val="00475077"/>
    <w:rsid w:val="00480B57"/>
    <w:rsid w:val="00490B35"/>
    <w:rsid w:val="0049131C"/>
    <w:rsid w:val="004919CE"/>
    <w:rsid w:val="00492A70"/>
    <w:rsid w:val="00495B04"/>
    <w:rsid w:val="00496752"/>
    <w:rsid w:val="004A2661"/>
    <w:rsid w:val="004A39CF"/>
    <w:rsid w:val="004A539B"/>
    <w:rsid w:val="004B2020"/>
    <w:rsid w:val="004B23D5"/>
    <w:rsid w:val="004C3E94"/>
    <w:rsid w:val="004C5145"/>
    <w:rsid w:val="004D0AFF"/>
    <w:rsid w:val="004E0A28"/>
    <w:rsid w:val="00500CFA"/>
    <w:rsid w:val="00511146"/>
    <w:rsid w:val="00511D68"/>
    <w:rsid w:val="00537932"/>
    <w:rsid w:val="005445B5"/>
    <w:rsid w:val="00553550"/>
    <w:rsid w:val="00564B5F"/>
    <w:rsid w:val="005707EE"/>
    <w:rsid w:val="00587521"/>
    <w:rsid w:val="00590BBD"/>
    <w:rsid w:val="0059330B"/>
    <w:rsid w:val="005A034B"/>
    <w:rsid w:val="005A152F"/>
    <w:rsid w:val="005B3564"/>
    <w:rsid w:val="005B6EE8"/>
    <w:rsid w:val="005C2026"/>
    <w:rsid w:val="005C281A"/>
    <w:rsid w:val="005C7C66"/>
    <w:rsid w:val="005E1B93"/>
    <w:rsid w:val="00634671"/>
    <w:rsid w:val="00634AA9"/>
    <w:rsid w:val="0064424C"/>
    <w:rsid w:val="00652A9A"/>
    <w:rsid w:val="00654765"/>
    <w:rsid w:val="00654DB4"/>
    <w:rsid w:val="006579E8"/>
    <w:rsid w:val="006614EB"/>
    <w:rsid w:val="006617C3"/>
    <w:rsid w:val="006768D8"/>
    <w:rsid w:val="006976AA"/>
    <w:rsid w:val="006A3C82"/>
    <w:rsid w:val="006A64DD"/>
    <w:rsid w:val="006B1219"/>
    <w:rsid w:val="006B1AF1"/>
    <w:rsid w:val="006B5E37"/>
    <w:rsid w:val="006C5558"/>
    <w:rsid w:val="006C6DE1"/>
    <w:rsid w:val="006C6FFD"/>
    <w:rsid w:val="006C7D26"/>
    <w:rsid w:val="006D7424"/>
    <w:rsid w:val="006E5FC3"/>
    <w:rsid w:val="0070364E"/>
    <w:rsid w:val="00705E0E"/>
    <w:rsid w:val="007132D2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8359B"/>
    <w:rsid w:val="007855D2"/>
    <w:rsid w:val="00787313"/>
    <w:rsid w:val="007A6FCB"/>
    <w:rsid w:val="007B2445"/>
    <w:rsid w:val="007C10D0"/>
    <w:rsid w:val="007C356F"/>
    <w:rsid w:val="007C47E8"/>
    <w:rsid w:val="007C5439"/>
    <w:rsid w:val="007C5A20"/>
    <w:rsid w:val="007C6915"/>
    <w:rsid w:val="007D350B"/>
    <w:rsid w:val="007E2F6D"/>
    <w:rsid w:val="008156F2"/>
    <w:rsid w:val="00816BC0"/>
    <w:rsid w:val="008261DF"/>
    <w:rsid w:val="00832E1F"/>
    <w:rsid w:val="00845C1B"/>
    <w:rsid w:val="00861234"/>
    <w:rsid w:val="008656BB"/>
    <w:rsid w:val="00867336"/>
    <w:rsid w:val="00876659"/>
    <w:rsid w:val="008815E5"/>
    <w:rsid w:val="00882B85"/>
    <w:rsid w:val="00884F6B"/>
    <w:rsid w:val="008871E3"/>
    <w:rsid w:val="0089101C"/>
    <w:rsid w:val="00892016"/>
    <w:rsid w:val="00893EDE"/>
    <w:rsid w:val="00897125"/>
    <w:rsid w:val="008A5357"/>
    <w:rsid w:val="008A5623"/>
    <w:rsid w:val="008B2D2D"/>
    <w:rsid w:val="008B4D13"/>
    <w:rsid w:val="008D2158"/>
    <w:rsid w:val="008D5E97"/>
    <w:rsid w:val="008D6048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51ED"/>
    <w:rsid w:val="00917DD2"/>
    <w:rsid w:val="0092526F"/>
    <w:rsid w:val="00926ABC"/>
    <w:rsid w:val="009457AD"/>
    <w:rsid w:val="009538F6"/>
    <w:rsid w:val="0099516A"/>
    <w:rsid w:val="00997238"/>
    <w:rsid w:val="009A000F"/>
    <w:rsid w:val="009A141E"/>
    <w:rsid w:val="009A57F6"/>
    <w:rsid w:val="009B342F"/>
    <w:rsid w:val="009C3289"/>
    <w:rsid w:val="009C6BF2"/>
    <w:rsid w:val="009C6D8D"/>
    <w:rsid w:val="009D1942"/>
    <w:rsid w:val="009D46B7"/>
    <w:rsid w:val="00A17F38"/>
    <w:rsid w:val="00A20944"/>
    <w:rsid w:val="00A31F61"/>
    <w:rsid w:val="00A36ADF"/>
    <w:rsid w:val="00A51486"/>
    <w:rsid w:val="00A54B4F"/>
    <w:rsid w:val="00A57296"/>
    <w:rsid w:val="00A621F0"/>
    <w:rsid w:val="00A746CB"/>
    <w:rsid w:val="00A75193"/>
    <w:rsid w:val="00A84594"/>
    <w:rsid w:val="00A85280"/>
    <w:rsid w:val="00A90C32"/>
    <w:rsid w:val="00A93C20"/>
    <w:rsid w:val="00AE12DD"/>
    <w:rsid w:val="00AE2A2E"/>
    <w:rsid w:val="00AE4896"/>
    <w:rsid w:val="00AE6158"/>
    <w:rsid w:val="00AE7A04"/>
    <w:rsid w:val="00AF0BA7"/>
    <w:rsid w:val="00B30643"/>
    <w:rsid w:val="00B3274D"/>
    <w:rsid w:val="00B506FF"/>
    <w:rsid w:val="00B538C4"/>
    <w:rsid w:val="00B67BCF"/>
    <w:rsid w:val="00B70500"/>
    <w:rsid w:val="00B73B55"/>
    <w:rsid w:val="00B749BF"/>
    <w:rsid w:val="00B838BC"/>
    <w:rsid w:val="00BA09E1"/>
    <w:rsid w:val="00BA0DBB"/>
    <w:rsid w:val="00BA314F"/>
    <w:rsid w:val="00BA62DB"/>
    <w:rsid w:val="00BC6F0C"/>
    <w:rsid w:val="00BE5A89"/>
    <w:rsid w:val="00BE6F49"/>
    <w:rsid w:val="00C036B4"/>
    <w:rsid w:val="00C03E14"/>
    <w:rsid w:val="00C0773B"/>
    <w:rsid w:val="00C12B11"/>
    <w:rsid w:val="00C12DD5"/>
    <w:rsid w:val="00C22722"/>
    <w:rsid w:val="00C22AF1"/>
    <w:rsid w:val="00C31DDF"/>
    <w:rsid w:val="00C403DF"/>
    <w:rsid w:val="00C40F69"/>
    <w:rsid w:val="00C45854"/>
    <w:rsid w:val="00C56AE2"/>
    <w:rsid w:val="00C91C25"/>
    <w:rsid w:val="00CA6A33"/>
    <w:rsid w:val="00CB38F1"/>
    <w:rsid w:val="00CB3951"/>
    <w:rsid w:val="00CC38E0"/>
    <w:rsid w:val="00CD39B7"/>
    <w:rsid w:val="00CD4366"/>
    <w:rsid w:val="00CE427A"/>
    <w:rsid w:val="00CF64E0"/>
    <w:rsid w:val="00D0255B"/>
    <w:rsid w:val="00D36093"/>
    <w:rsid w:val="00D36CA2"/>
    <w:rsid w:val="00D413FF"/>
    <w:rsid w:val="00D42AD2"/>
    <w:rsid w:val="00D4350F"/>
    <w:rsid w:val="00D45BAD"/>
    <w:rsid w:val="00D64B26"/>
    <w:rsid w:val="00D70E90"/>
    <w:rsid w:val="00D7285B"/>
    <w:rsid w:val="00D76997"/>
    <w:rsid w:val="00D822D4"/>
    <w:rsid w:val="00D86A1F"/>
    <w:rsid w:val="00D90636"/>
    <w:rsid w:val="00D931BA"/>
    <w:rsid w:val="00D95086"/>
    <w:rsid w:val="00D975C3"/>
    <w:rsid w:val="00DA5045"/>
    <w:rsid w:val="00DA5698"/>
    <w:rsid w:val="00DA6212"/>
    <w:rsid w:val="00DB6688"/>
    <w:rsid w:val="00DC7B8E"/>
    <w:rsid w:val="00DD18B0"/>
    <w:rsid w:val="00DD682A"/>
    <w:rsid w:val="00DE3A88"/>
    <w:rsid w:val="00DF0196"/>
    <w:rsid w:val="00E0091E"/>
    <w:rsid w:val="00E017EA"/>
    <w:rsid w:val="00E074E7"/>
    <w:rsid w:val="00E10237"/>
    <w:rsid w:val="00E14886"/>
    <w:rsid w:val="00E23690"/>
    <w:rsid w:val="00E34E29"/>
    <w:rsid w:val="00E35EAB"/>
    <w:rsid w:val="00E37F62"/>
    <w:rsid w:val="00E432C3"/>
    <w:rsid w:val="00E46C86"/>
    <w:rsid w:val="00E510AB"/>
    <w:rsid w:val="00E57D3A"/>
    <w:rsid w:val="00E64A6F"/>
    <w:rsid w:val="00E76A4A"/>
    <w:rsid w:val="00E85661"/>
    <w:rsid w:val="00E91726"/>
    <w:rsid w:val="00EA66E0"/>
    <w:rsid w:val="00EC3590"/>
    <w:rsid w:val="00EC648D"/>
    <w:rsid w:val="00EC679D"/>
    <w:rsid w:val="00ED358F"/>
    <w:rsid w:val="00EF789A"/>
    <w:rsid w:val="00EF7AE5"/>
    <w:rsid w:val="00F07AD7"/>
    <w:rsid w:val="00F245DA"/>
    <w:rsid w:val="00F2491F"/>
    <w:rsid w:val="00F3135F"/>
    <w:rsid w:val="00F55E7D"/>
    <w:rsid w:val="00F55ED3"/>
    <w:rsid w:val="00F71145"/>
    <w:rsid w:val="00F716C8"/>
    <w:rsid w:val="00F845F3"/>
    <w:rsid w:val="00F86F13"/>
    <w:rsid w:val="00F90F0D"/>
    <w:rsid w:val="00F91719"/>
    <w:rsid w:val="00F94BFE"/>
    <w:rsid w:val="00FA27E8"/>
    <w:rsid w:val="00FA7FC7"/>
    <w:rsid w:val="00FC4F0B"/>
    <w:rsid w:val="00FC6B64"/>
    <w:rsid w:val="00FC7892"/>
    <w:rsid w:val="00FD2D0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F7D2-0E83-404E-8C18-E92D67C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Беспалова Валентина Сергеевна</cp:lastModifiedBy>
  <cp:revision>2</cp:revision>
  <cp:lastPrinted>2024-02-27T16:05:00Z</cp:lastPrinted>
  <dcterms:created xsi:type="dcterms:W3CDTF">2024-05-13T08:16:00Z</dcterms:created>
  <dcterms:modified xsi:type="dcterms:W3CDTF">2024-05-13T08:16:00Z</dcterms:modified>
</cp:coreProperties>
</file>