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32" w:rsidRPr="00D96032" w:rsidRDefault="00D96032" w:rsidP="00D96032">
      <w:pPr>
        <w:spacing w:after="1" w:line="220" w:lineRule="atLeast"/>
        <w:jc w:val="right"/>
        <w:rPr>
          <w:rFonts w:ascii="Times New Roman" w:hAnsi="Times New Roman" w:cs="Times New Roman"/>
          <w:sz w:val="28"/>
          <w:szCs w:val="28"/>
        </w:rPr>
      </w:pPr>
      <w:r w:rsidRPr="00D96032">
        <w:rPr>
          <w:rFonts w:ascii="Times New Roman" w:hAnsi="Times New Roman" w:cs="Times New Roman"/>
          <w:sz w:val="28"/>
          <w:szCs w:val="28"/>
        </w:rPr>
        <w:t xml:space="preserve">Приложение </w:t>
      </w:r>
      <w:r w:rsidR="00453B13">
        <w:rPr>
          <w:rFonts w:ascii="Times New Roman" w:hAnsi="Times New Roman" w:cs="Times New Roman"/>
          <w:sz w:val="28"/>
          <w:szCs w:val="28"/>
        </w:rPr>
        <w:t>2.2</w:t>
      </w:r>
    </w:p>
    <w:p w:rsidR="00D96032" w:rsidRDefault="00D96032" w:rsidP="003C39A0">
      <w:pPr>
        <w:spacing w:after="1" w:line="220" w:lineRule="atLeast"/>
        <w:jc w:val="center"/>
        <w:rPr>
          <w:rFonts w:ascii="Times New Roman" w:hAnsi="Times New Roman" w:cs="Times New Roman"/>
          <w:b/>
          <w:sz w:val="24"/>
          <w:szCs w:val="24"/>
        </w:rPr>
      </w:pPr>
    </w:p>
    <w:p w:rsidR="003C39A0" w:rsidRPr="003E00E1" w:rsidRDefault="003C39A0" w:rsidP="003C39A0">
      <w:pPr>
        <w:spacing w:after="1" w:line="220" w:lineRule="atLeast"/>
        <w:jc w:val="center"/>
        <w:rPr>
          <w:rFonts w:ascii="Times New Roman" w:hAnsi="Times New Roman" w:cs="Times New Roman"/>
          <w:sz w:val="24"/>
          <w:szCs w:val="24"/>
        </w:rPr>
      </w:pPr>
      <w:r w:rsidRPr="003E00E1">
        <w:rPr>
          <w:rFonts w:ascii="Times New Roman" w:hAnsi="Times New Roman" w:cs="Times New Roman"/>
          <w:b/>
          <w:sz w:val="24"/>
          <w:szCs w:val="24"/>
        </w:rPr>
        <w:t>ПОРЯДОК ПРИМЕНЕНИЯ ЛЬГОТ</w:t>
      </w:r>
    </w:p>
    <w:p w:rsidR="003C39A0" w:rsidRPr="003E00E1" w:rsidRDefault="003C39A0" w:rsidP="003C39A0">
      <w:pPr>
        <w:spacing w:after="1" w:line="220" w:lineRule="atLeast"/>
        <w:jc w:val="center"/>
        <w:rPr>
          <w:rFonts w:ascii="Times New Roman" w:hAnsi="Times New Roman" w:cs="Times New Roman"/>
          <w:sz w:val="24"/>
          <w:szCs w:val="24"/>
        </w:rPr>
      </w:pPr>
      <w:r w:rsidRPr="003E00E1">
        <w:rPr>
          <w:rFonts w:ascii="Times New Roman" w:hAnsi="Times New Roman" w:cs="Times New Roman"/>
          <w:b/>
          <w:sz w:val="24"/>
          <w:szCs w:val="24"/>
        </w:rPr>
        <w:t>ПРИ НАЛОГООБЛОЖЕНИИ ИМУЩЕСТВА ФИЗЛИЦ ЗА 202</w:t>
      </w:r>
      <w:r w:rsidR="00D533E5">
        <w:rPr>
          <w:rFonts w:ascii="Times New Roman" w:hAnsi="Times New Roman" w:cs="Times New Roman"/>
          <w:b/>
          <w:sz w:val="24"/>
          <w:szCs w:val="24"/>
        </w:rPr>
        <w:t>2</w:t>
      </w:r>
      <w:r w:rsidRPr="003E00E1">
        <w:rPr>
          <w:rFonts w:ascii="Times New Roman" w:hAnsi="Times New Roman" w:cs="Times New Roman"/>
          <w:b/>
          <w:sz w:val="24"/>
          <w:szCs w:val="24"/>
        </w:rPr>
        <w:t xml:space="preserve"> ГОД</w:t>
      </w:r>
    </w:p>
    <w:p w:rsidR="003C39A0" w:rsidRPr="003E00E1" w:rsidRDefault="003C39A0" w:rsidP="003C39A0">
      <w:pPr>
        <w:spacing w:after="1" w:line="220" w:lineRule="atLeast"/>
        <w:jc w:val="both"/>
        <w:rPr>
          <w:rFonts w:ascii="Times New Roman" w:hAnsi="Times New Roman" w:cs="Times New Roman"/>
          <w:sz w:val="24"/>
          <w:szCs w:val="24"/>
        </w:rPr>
      </w:pPr>
    </w:p>
    <w:p w:rsidR="003C39A0" w:rsidRPr="003E00E1" w:rsidRDefault="003C39A0" w:rsidP="003C39A0">
      <w:pPr>
        <w:spacing w:after="1" w:line="220" w:lineRule="atLeast"/>
        <w:ind w:firstLine="540"/>
        <w:jc w:val="both"/>
        <w:rPr>
          <w:rFonts w:ascii="Times New Roman" w:hAnsi="Times New Roman" w:cs="Times New Roman"/>
          <w:sz w:val="24"/>
          <w:szCs w:val="24"/>
        </w:rPr>
      </w:pPr>
    </w:p>
    <w:p w:rsidR="003C39A0" w:rsidRPr="00D533E5" w:rsidRDefault="003C39A0" w:rsidP="00D533E5">
      <w:pPr>
        <w:spacing w:after="0" w:line="240" w:lineRule="auto"/>
        <w:ind w:firstLine="540"/>
        <w:jc w:val="both"/>
        <w:rPr>
          <w:rFonts w:ascii="Times New Roman" w:hAnsi="Times New Roman" w:cs="Times New Roman"/>
          <w:sz w:val="26"/>
          <w:szCs w:val="26"/>
        </w:rPr>
      </w:pPr>
      <w:r w:rsidRPr="00D533E5">
        <w:rPr>
          <w:rFonts w:ascii="Times New Roman" w:hAnsi="Times New Roman" w:cs="Times New Roman"/>
          <w:sz w:val="26"/>
          <w:szCs w:val="26"/>
        </w:rPr>
        <w:t xml:space="preserve">Налоговые льготы по транспортному налогу, земельному налогу и налогу на имущество предоставляются налоговыми органами налогоплательщикам в </w:t>
      </w:r>
      <w:proofErr w:type="spellStart"/>
      <w:r w:rsidRPr="00D533E5">
        <w:rPr>
          <w:rFonts w:ascii="Times New Roman" w:hAnsi="Times New Roman" w:cs="Times New Roman"/>
          <w:sz w:val="26"/>
          <w:szCs w:val="26"/>
        </w:rPr>
        <w:t>беззаявительном</w:t>
      </w:r>
      <w:proofErr w:type="spellEnd"/>
      <w:r w:rsidRPr="00D533E5">
        <w:rPr>
          <w:rFonts w:ascii="Times New Roman" w:hAnsi="Times New Roman" w:cs="Times New Roman"/>
          <w:sz w:val="26"/>
          <w:szCs w:val="26"/>
        </w:rPr>
        <w:t xml:space="preserve"> порядке на основании сведений о льготниках, полученных при информационном обмене с ПФР, </w:t>
      </w:r>
      <w:proofErr w:type="spellStart"/>
      <w:r w:rsidRPr="00D533E5">
        <w:rPr>
          <w:rFonts w:ascii="Times New Roman" w:hAnsi="Times New Roman" w:cs="Times New Roman"/>
          <w:sz w:val="26"/>
          <w:szCs w:val="26"/>
        </w:rPr>
        <w:t>Росреестром</w:t>
      </w:r>
      <w:proofErr w:type="spellEnd"/>
      <w:r w:rsidRPr="00D533E5">
        <w:rPr>
          <w:rFonts w:ascii="Times New Roman" w:hAnsi="Times New Roman" w:cs="Times New Roman"/>
          <w:sz w:val="26"/>
          <w:szCs w:val="26"/>
        </w:rPr>
        <w:t>, региональными органами соцзащиты.</w:t>
      </w:r>
    </w:p>
    <w:p w:rsidR="003C39A0" w:rsidRPr="00D533E5" w:rsidRDefault="003C39A0" w:rsidP="00D533E5">
      <w:pPr>
        <w:spacing w:after="0" w:line="240" w:lineRule="auto"/>
        <w:ind w:firstLine="540"/>
        <w:jc w:val="both"/>
        <w:rPr>
          <w:rFonts w:ascii="Times New Roman" w:hAnsi="Times New Roman" w:cs="Times New Roman"/>
          <w:sz w:val="26"/>
          <w:szCs w:val="26"/>
        </w:rPr>
      </w:pPr>
      <w:r w:rsidRPr="00D533E5">
        <w:rPr>
          <w:rFonts w:ascii="Times New Roman" w:hAnsi="Times New Roman" w:cs="Times New Roman"/>
          <w:sz w:val="26"/>
          <w:szCs w:val="26"/>
        </w:rPr>
        <w:t xml:space="preserve">Пенсионеры, </w:t>
      </w:r>
      <w:proofErr w:type="spellStart"/>
      <w:r w:rsidRPr="00D533E5">
        <w:rPr>
          <w:rFonts w:ascii="Times New Roman" w:hAnsi="Times New Roman" w:cs="Times New Roman"/>
          <w:sz w:val="26"/>
          <w:szCs w:val="26"/>
        </w:rPr>
        <w:t>предпенсионеры</w:t>
      </w:r>
      <w:proofErr w:type="spellEnd"/>
      <w:r w:rsidRPr="00D533E5">
        <w:rPr>
          <w:rFonts w:ascii="Times New Roman" w:hAnsi="Times New Roman" w:cs="Times New Roman"/>
          <w:sz w:val="26"/>
          <w:szCs w:val="26"/>
        </w:rPr>
        <w:t xml:space="preserve">, инвалиды, лица, имеющие трех и более несовершеннолетних детей, владельцы </w:t>
      </w:r>
      <w:proofErr w:type="spellStart"/>
      <w:r w:rsidRPr="00D533E5">
        <w:rPr>
          <w:rFonts w:ascii="Times New Roman" w:hAnsi="Times New Roman" w:cs="Times New Roman"/>
          <w:sz w:val="26"/>
          <w:szCs w:val="26"/>
        </w:rPr>
        <w:t>хозпостроек</w:t>
      </w:r>
      <w:proofErr w:type="spellEnd"/>
      <w:r w:rsidRPr="00D533E5">
        <w:rPr>
          <w:rFonts w:ascii="Times New Roman" w:hAnsi="Times New Roman" w:cs="Times New Roman"/>
          <w:sz w:val="26"/>
          <w:szCs w:val="26"/>
        </w:rPr>
        <w:t xml:space="preserve"> не более 50 кв. м могут не направлять заявления о предоставлении налоговых льгот.</w:t>
      </w:r>
    </w:p>
    <w:p w:rsidR="003C39A0" w:rsidRPr="00D533E5" w:rsidRDefault="003C39A0" w:rsidP="00D533E5">
      <w:pPr>
        <w:spacing w:after="0" w:line="240" w:lineRule="auto"/>
        <w:ind w:firstLine="540"/>
        <w:jc w:val="both"/>
        <w:rPr>
          <w:rFonts w:ascii="Times New Roman" w:hAnsi="Times New Roman" w:cs="Times New Roman"/>
          <w:sz w:val="26"/>
          <w:szCs w:val="26"/>
        </w:rPr>
      </w:pPr>
      <w:r w:rsidRPr="00D533E5">
        <w:rPr>
          <w:rFonts w:ascii="Times New Roman" w:hAnsi="Times New Roman" w:cs="Times New Roman"/>
          <w:sz w:val="26"/>
          <w:szCs w:val="26"/>
        </w:rPr>
        <w:t>Если право на льготу по транспортному, земельному налогам и налогу на имущество возникло в 202</w:t>
      </w:r>
      <w:r w:rsidR="00262451">
        <w:rPr>
          <w:rFonts w:ascii="Times New Roman" w:hAnsi="Times New Roman" w:cs="Times New Roman"/>
          <w:sz w:val="26"/>
          <w:szCs w:val="26"/>
        </w:rPr>
        <w:t>2</w:t>
      </w:r>
      <w:r w:rsidRPr="00D533E5">
        <w:rPr>
          <w:rFonts w:ascii="Times New Roman" w:hAnsi="Times New Roman" w:cs="Times New Roman"/>
          <w:sz w:val="26"/>
          <w:szCs w:val="26"/>
        </w:rPr>
        <w:t xml:space="preserve"> году впервые, то гражданин может обратиться в любую налоговую инспекцию с соответствующим заявлением по установленной форме. Целесообразно направить его до начала массовой рассылки налоговых уведомлений за 202</w:t>
      </w:r>
      <w:r w:rsidR="00262451">
        <w:rPr>
          <w:rFonts w:ascii="Times New Roman" w:hAnsi="Times New Roman" w:cs="Times New Roman"/>
          <w:sz w:val="26"/>
          <w:szCs w:val="26"/>
        </w:rPr>
        <w:t>2</w:t>
      </w:r>
      <w:r w:rsidRPr="00D533E5">
        <w:rPr>
          <w:rFonts w:ascii="Times New Roman" w:hAnsi="Times New Roman" w:cs="Times New Roman"/>
          <w:sz w:val="26"/>
          <w:szCs w:val="26"/>
        </w:rPr>
        <w:t xml:space="preserve"> год, то есть до 20 мая 202</w:t>
      </w:r>
      <w:r w:rsidR="00262451">
        <w:rPr>
          <w:rFonts w:ascii="Times New Roman" w:hAnsi="Times New Roman" w:cs="Times New Roman"/>
          <w:sz w:val="26"/>
          <w:szCs w:val="26"/>
        </w:rPr>
        <w:t>3</w:t>
      </w:r>
      <w:r w:rsidRPr="00D533E5">
        <w:rPr>
          <w:rFonts w:ascii="Times New Roman" w:hAnsi="Times New Roman" w:cs="Times New Roman"/>
          <w:sz w:val="26"/>
          <w:szCs w:val="26"/>
        </w:rPr>
        <w:t xml:space="preserve"> года. Это можно сделать через "Личный кабинет налогоплательщика", по почте, лично через любую инспекцию или в МФЦ, уполномоченном принимать такие заявления. При этом не требуется повторно подавать заявление, если оно уже подавалось, но в нем не указывалось, что льгота будет использоваться в ограниченный период.</w:t>
      </w:r>
    </w:p>
    <w:p w:rsidR="003C39A0" w:rsidRPr="00D533E5" w:rsidRDefault="003C39A0" w:rsidP="00D533E5">
      <w:pPr>
        <w:pStyle w:val="ConsPlusNormal"/>
        <w:ind w:firstLine="708"/>
        <w:jc w:val="both"/>
        <w:rPr>
          <w:rFonts w:ascii="Times New Roman" w:hAnsi="Times New Roman" w:cs="Times New Roman"/>
          <w:sz w:val="26"/>
          <w:szCs w:val="26"/>
        </w:rPr>
      </w:pPr>
      <w:r w:rsidRPr="00D533E5">
        <w:rPr>
          <w:rFonts w:ascii="Times New Roman" w:hAnsi="Times New Roman" w:cs="Times New Roman"/>
          <w:sz w:val="26"/>
          <w:szCs w:val="26"/>
        </w:rPr>
        <w:t>Напоминаем, что льготы для физлиц по транспортному налогу на федеральном уровне не установлены. Они могут быть предусмотрены законами субъектов РФ по месту нахождения транспортных средств. На территории Республики Адыгея транспортный налог установлен Законом Республики Адыгея от 28.12.2002 N 106 (ред. от 04.08.2020) "О транспортном налоге" (далее – Закон № 106).</w:t>
      </w:r>
    </w:p>
    <w:p w:rsidR="00D533E5" w:rsidRPr="00D533E5" w:rsidRDefault="00D533E5" w:rsidP="00D533E5">
      <w:pPr>
        <w:autoSpaceDE w:val="0"/>
        <w:autoSpaceDN w:val="0"/>
        <w:adjustRightInd w:val="0"/>
        <w:spacing w:after="0"/>
        <w:ind w:firstLine="540"/>
        <w:jc w:val="both"/>
        <w:rPr>
          <w:rFonts w:ascii="Times New Roman" w:hAnsi="Times New Roman" w:cs="Times New Roman"/>
          <w:sz w:val="26"/>
          <w:szCs w:val="26"/>
        </w:rPr>
      </w:pPr>
      <w:r w:rsidRPr="00D533E5">
        <w:rPr>
          <w:rFonts w:ascii="Times New Roman" w:hAnsi="Times New Roman" w:cs="Times New Roman"/>
          <w:sz w:val="26"/>
          <w:szCs w:val="26"/>
        </w:rPr>
        <w:t xml:space="preserve">С налогового периода 2022г изменились условия и размер предоставления льготы отдельным категориям налогоплательщиков – физическим лицам транспортного налога (в ред. </w:t>
      </w:r>
      <w:hyperlink r:id="rId5" w:history="1">
        <w:r w:rsidRPr="00D533E5">
          <w:rPr>
            <w:rFonts w:ascii="Times New Roman" w:hAnsi="Times New Roman" w:cs="Times New Roman"/>
            <w:color w:val="0000FF"/>
            <w:sz w:val="26"/>
            <w:szCs w:val="26"/>
          </w:rPr>
          <w:t>Закона</w:t>
        </w:r>
      </w:hyperlink>
      <w:r w:rsidRPr="00D533E5">
        <w:rPr>
          <w:rFonts w:ascii="Times New Roman" w:hAnsi="Times New Roman" w:cs="Times New Roman"/>
          <w:sz w:val="26"/>
          <w:szCs w:val="26"/>
        </w:rPr>
        <w:t xml:space="preserve"> Республики Адыгея от 27.10.2021 N 8)</w:t>
      </w:r>
    </w:p>
    <w:p w:rsidR="00D533E5" w:rsidRPr="00D533E5" w:rsidRDefault="003C39A0" w:rsidP="00D533E5">
      <w:pPr>
        <w:autoSpaceDE w:val="0"/>
        <w:autoSpaceDN w:val="0"/>
        <w:adjustRightInd w:val="0"/>
        <w:spacing w:after="0"/>
        <w:ind w:firstLine="540"/>
        <w:jc w:val="both"/>
        <w:rPr>
          <w:rFonts w:ascii="Times New Roman" w:hAnsi="Times New Roman" w:cs="Times New Roman"/>
          <w:sz w:val="26"/>
          <w:szCs w:val="26"/>
        </w:rPr>
      </w:pPr>
      <w:r w:rsidRPr="00D533E5">
        <w:rPr>
          <w:rFonts w:ascii="Times New Roman" w:hAnsi="Times New Roman" w:cs="Times New Roman"/>
          <w:sz w:val="26"/>
          <w:szCs w:val="26"/>
        </w:rPr>
        <w:t>Частью 3, 4 ст. 4 Закона № 106</w:t>
      </w:r>
      <w:r w:rsidR="00D533E5" w:rsidRPr="00D533E5">
        <w:rPr>
          <w:rFonts w:ascii="Times New Roman" w:hAnsi="Times New Roman" w:cs="Times New Roman"/>
          <w:sz w:val="26"/>
          <w:szCs w:val="26"/>
        </w:rPr>
        <w:t xml:space="preserve"> определено, что </w:t>
      </w:r>
      <w:r w:rsidRPr="00D533E5">
        <w:rPr>
          <w:rFonts w:ascii="Times New Roman" w:hAnsi="Times New Roman" w:cs="Times New Roman"/>
          <w:sz w:val="26"/>
          <w:szCs w:val="26"/>
        </w:rPr>
        <w:t xml:space="preserve"> </w:t>
      </w:r>
      <w:r w:rsidR="00D533E5" w:rsidRPr="00D533E5">
        <w:rPr>
          <w:rFonts w:ascii="Times New Roman" w:hAnsi="Times New Roman" w:cs="Times New Roman"/>
          <w:sz w:val="26"/>
          <w:szCs w:val="26"/>
        </w:rPr>
        <w:t xml:space="preserve">освобождаются от уплаты транспортного налога </w:t>
      </w:r>
      <w:r w:rsidR="00D533E5" w:rsidRPr="00D533E5">
        <w:rPr>
          <w:rFonts w:ascii="Times New Roman" w:hAnsi="Times New Roman" w:cs="Times New Roman"/>
          <w:b/>
          <w:sz w:val="26"/>
          <w:szCs w:val="26"/>
        </w:rPr>
        <w:t>по легковым автомобилям с мощностью двигателя до 150 лошадиных сил включительно,</w:t>
      </w:r>
      <w:r w:rsidR="00D533E5" w:rsidRPr="00D533E5">
        <w:rPr>
          <w:rFonts w:ascii="Times New Roman" w:hAnsi="Times New Roman" w:cs="Times New Roman"/>
          <w:sz w:val="26"/>
          <w:szCs w:val="26"/>
        </w:rPr>
        <w:t xml:space="preserve"> </w:t>
      </w:r>
      <w:r w:rsidR="00D533E5" w:rsidRPr="00D533E5">
        <w:rPr>
          <w:rFonts w:ascii="Times New Roman" w:hAnsi="Times New Roman" w:cs="Times New Roman"/>
          <w:b/>
          <w:sz w:val="26"/>
          <w:szCs w:val="26"/>
        </w:rPr>
        <w:t xml:space="preserve">моторным лодкам с мощностью двигателя до 20 лошадиных сил включительно, мотоциклам и мотороллерам с мощностью двигателя до 35 лошадиных сил включительно в отношении одной единицы </w:t>
      </w:r>
      <w:proofErr w:type="gramStart"/>
      <w:r w:rsidR="00D533E5" w:rsidRPr="00D533E5">
        <w:rPr>
          <w:rFonts w:ascii="Times New Roman" w:hAnsi="Times New Roman" w:cs="Times New Roman"/>
          <w:b/>
          <w:sz w:val="26"/>
          <w:szCs w:val="26"/>
        </w:rPr>
        <w:t xml:space="preserve">транспортного средства из числа зарегистрированных за данным владельцем по его выбору, </w:t>
      </w:r>
      <w:r w:rsidR="00D533E5" w:rsidRPr="00D533E5">
        <w:rPr>
          <w:rFonts w:ascii="Times New Roman" w:hAnsi="Times New Roman" w:cs="Times New Roman"/>
          <w:sz w:val="26"/>
          <w:szCs w:val="26"/>
        </w:rPr>
        <w:t xml:space="preserve">категориям лиц определенным в </w:t>
      </w:r>
      <w:hyperlink r:id="rId6" w:history="1">
        <w:r w:rsidR="00D533E5" w:rsidRPr="00D533E5">
          <w:rPr>
            <w:rFonts w:ascii="Times New Roman" w:hAnsi="Times New Roman" w:cs="Times New Roman"/>
            <w:color w:val="0000FF"/>
            <w:sz w:val="26"/>
            <w:szCs w:val="26"/>
          </w:rPr>
          <w:t xml:space="preserve">пунктах </w:t>
        </w:r>
      </w:hyperlink>
      <w:r w:rsidR="00D533E5" w:rsidRPr="00D533E5">
        <w:rPr>
          <w:rFonts w:ascii="Times New Roman" w:hAnsi="Times New Roman" w:cs="Times New Roman"/>
          <w:color w:val="0000FF"/>
          <w:sz w:val="26"/>
          <w:szCs w:val="26"/>
        </w:rPr>
        <w:t>3</w:t>
      </w:r>
      <w:r w:rsidR="00D533E5" w:rsidRPr="00D533E5">
        <w:rPr>
          <w:rFonts w:ascii="Times New Roman" w:hAnsi="Times New Roman" w:cs="Times New Roman"/>
          <w:sz w:val="26"/>
          <w:szCs w:val="26"/>
        </w:rPr>
        <w:t xml:space="preserve"> - </w:t>
      </w:r>
      <w:hyperlink r:id="rId7" w:history="1">
        <w:r w:rsidR="00D533E5" w:rsidRPr="00D533E5">
          <w:rPr>
            <w:rFonts w:ascii="Times New Roman" w:hAnsi="Times New Roman" w:cs="Times New Roman"/>
            <w:color w:val="0000FF"/>
            <w:sz w:val="26"/>
            <w:szCs w:val="26"/>
          </w:rPr>
          <w:t>8 части 1</w:t>
        </w:r>
      </w:hyperlink>
      <w:r w:rsidR="00D533E5" w:rsidRPr="00D533E5">
        <w:rPr>
          <w:rFonts w:ascii="Times New Roman" w:hAnsi="Times New Roman" w:cs="Times New Roman"/>
          <w:sz w:val="26"/>
          <w:szCs w:val="26"/>
        </w:rPr>
        <w:t xml:space="preserve"> Закона № 106</w:t>
      </w:r>
      <w:r w:rsidRPr="00D533E5">
        <w:rPr>
          <w:rFonts w:ascii="Times New Roman" w:hAnsi="Times New Roman" w:cs="Times New Roman"/>
          <w:sz w:val="26"/>
          <w:szCs w:val="26"/>
        </w:rPr>
        <w:t>.</w:t>
      </w:r>
      <w:proofErr w:type="gramEnd"/>
    </w:p>
    <w:p w:rsidR="003C39A0" w:rsidRPr="00D533E5" w:rsidRDefault="003C39A0" w:rsidP="00262451">
      <w:pPr>
        <w:autoSpaceDE w:val="0"/>
        <w:autoSpaceDN w:val="0"/>
        <w:adjustRightInd w:val="0"/>
        <w:spacing w:after="0"/>
        <w:ind w:firstLine="540"/>
        <w:jc w:val="both"/>
        <w:rPr>
          <w:rFonts w:ascii="Times New Roman" w:hAnsi="Times New Roman" w:cs="Times New Roman"/>
          <w:sz w:val="26"/>
          <w:szCs w:val="26"/>
        </w:rPr>
      </w:pPr>
      <w:r w:rsidRPr="00D533E5">
        <w:rPr>
          <w:rFonts w:ascii="Times New Roman" w:hAnsi="Times New Roman" w:cs="Times New Roman"/>
          <w:sz w:val="26"/>
          <w:szCs w:val="26"/>
        </w:rPr>
        <w:t xml:space="preserve">Налоговая база по </w:t>
      </w:r>
      <w:hyperlink r:id="rId8" w:history="1">
        <w:r w:rsidRPr="00D533E5">
          <w:rPr>
            <w:rFonts w:ascii="Times New Roman" w:hAnsi="Times New Roman" w:cs="Times New Roman"/>
            <w:color w:val="0000FF"/>
            <w:sz w:val="26"/>
            <w:szCs w:val="26"/>
          </w:rPr>
          <w:t>земельному налогу</w:t>
        </w:r>
      </w:hyperlink>
      <w:r w:rsidRPr="00D533E5">
        <w:rPr>
          <w:rFonts w:ascii="Times New Roman" w:hAnsi="Times New Roman" w:cs="Times New Roman"/>
          <w:sz w:val="26"/>
          <w:szCs w:val="26"/>
        </w:rPr>
        <w:t xml:space="preserve"> уменьшается на величину кадастровой стоимости 600 кв. м площади одного земельного участка, который находится в собственности, бессрочном пользовании или пожизненном наследуемом владении граждан льготных категорий</w:t>
      </w:r>
      <w:bookmarkStart w:id="0" w:name="_GoBack"/>
      <w:bookmarkEnd w:id="0"/>
      <w:r w:rsidRPr="00D533E5">
        <w:rPr>
          <w:rFonts w:ascii="Times New Roman" w:hAnsi="Times New Roman" w:cs="Times New Roman"/>
          <w:sz w:val="26"/>
          <w:szCs w:val="26"/>
        </w:rPr>
        <w:t xml:space="preserve">. </w:t>
      </w:r>
      <w:proofErr w:type="gramStart"/>
      <w:r w:rsidRPr="00D533E5">
        <w:rPr>
          <w:rFonts w:ascii="Times New Roman" w:hAnsi="Times New Roman" w:cs="Times New Roman"/>
          <w:sz w:val="26"/>
          <w:szCs w:val="26"/>
        </w:rPr>
        <w:t xml:space="preserve">По </w:t>
      </w:r>
      <w:hyperlink r:id="rId9" w:history="1">
        <w:r w:rsidRPr="00D533E5">
          <w:rPr>
            <w:rFonts w:ascii="Times New Roman" w:hAnsi="Times New Roman" w:cs="Times New Roman"/>
            <w:color w:val="0000FF"/>
            <w:sz w:val="26"/>
            <w:szCs w:val="26"/>
          </w:rPr>
          <w:t>налогу</w:t>
        </w:r>
      </w:hyperlink>
      <w:r w:rsidRPr="00D533E5">
        <w:rPr>
          <w:rFonts w:ascii="Times New Roman" w:hAnsi="Times New Roman" w:cs="Times New Roman"/>
          <w:sz w:val="26"/>
          <w:szCs w:val="26"/>
        </w:rPr>
        <w:t xml:space="preserve"> на имущество физлиц льготы, освобождающие от уплаты налога за один объект налогообложения определенного вида, предусмотрены для 16 категорий налогоплательщиков, в том числе для пенсионеров, инвалидов 1,2 групп, участников ВОВ и боевых действий и т.д.. Дополнительные льготы могут быть установлены нормативными актами </w:t>
      </w:r>
      <w:r w:rsidRPr="00D533E5">
        <w:rPr>
          <w:rFonts w:ascii="Times New Roman" w:hAnsi="Times New Roman" w:cs="Times New Roman"/>
          <w:sz w:val="26"/>
          <w:szCs w:val="26"/>
        </w:rPr>
        <w:lastRenderedPageBreak/>
        <w:t>муниципальных образований по месту нахождения налогооблагаемого недвижимого имущества.</w:t>
      </w:r>
      <w:proofErr w:type="gramEnd"/>
    </w:p>
    <w:p w:rsidR="00EC7036" w:rsidRPr="00D533E5" w:rsidRDefault="003C39A0" w:rsidP="00D533E5">
      <w:pPr>
        <w:spacing w:after="0" w:line="240" w:lineRule="auto"/>
        <w:ind w:firstLine="540"/>
        <w:jc w:val="both"/>
        <w:rPr>
          <w:rFonts w:ascii="Times New Roman" w:hAnsi="Times New Roman" w:cs="Times New Roman"/>
          <w:sz w:val="26"/>
          <w:szCs w:val="26"/>
        </w:rPr>
      </w:pPr>
      <w:r w:rsidRPr="00D533E5">
        <w:rPr>
          <w:rFonts w:ascii="Times New Roman" w:hAnsi="Times New Roman" w:cs="Times New Roman"/>
          <w:sz w:val="26"/>
          <w:szCs w:val="26"/>
        </w:rPr>
        <w:t>Ознакомиться с полным перечнем льгот, действующих за налоговый период 202</w:t>
      </w:r>
      <w:r w:rsidR="001A3EB6">
        <w:rPr>
          <w:rFonts w:ascii="Times New Roman" w:hAnsi="Times New Roman" w:cs="Times New Roman"/>
          <w:sz w:val="26"/>
          <w:szCs w:val="26"/>
        </w:rPr>
        <w:t>2</w:t>
      </w:r>
      <w:r w:rsidRPr="00D533E5">
        <w:rPr>
          <w:rFonts w:ascii="Times New Roman" w:hAnsi="Times New Roman" w:cs="Times New Roman"/>
          <w:sz w:val="26"/>
          <w:szCs w:val="26"/>
        </w:rPr>
        <w:t xml:space="preserve"> года, можно с помощью </w:t>
      </w:r>
      <w:hyperlink r:id="rId10" w:history="1">
        <w:r w:rsidRPr="00D533E5">
          <w:rPr>
            <w:rFonts w:ascii="Times New Roman" w:hAnsi="Times New Roman" w:cs="Times New Roman"/>
            <w:color w:val="0000FF"/>
            <w:sz w:val="26"/>
            <w:szCs w:val="26"/>
          </w:rPr>
          <w:t>сервиса</w:t>
        </w:r>
      </w:hyperlink>
      <w:r w:rsidRPr="00D533E5">
        <w:rPr>
          <w:rFonts w:ascii="Times New Roman" w:hAnsi="Times New Roman" w:cs="Times New Roman"/>
          <w:sz w:val="26"/>
          <w:szCs w:val="26"/>
        </w:rPr>
        <w:t xml:space="preserve"> "Справочная информация о ставках и льготах по имущественным налогам".</w:t>
      </w:r>
    </w:p>
    <w:sectPr w:rsidR="00EC7036" w:rsidRPr="00D533E5" w:rsidSect="003C39A0">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A0"/>
    <w:rsid w:val="001158FC"/>
    <w:rsid w:val="001A3EB6"/>
    <w:rsid w:val="001B7CE6"/>
    <w:rsid w:val="001C18FB"/>
    <w:rsid w:val="00262451"/>
    <w:rsid w:val="002F5AE3"/>
    <w:rsid w:val="003C39A0"/>
    <w:rsid w:val="003E00E1"/>
    <w:rsid w:val="00453B13"/>
    <w:rsid w:val="00D533E5"/>
    <w:rsid w:val="00D9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9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9A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9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9A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48692B31B583D530FBE10A34C63DE9828D4632D8E98A12725252BD15FF3270EC59C6D0E18ED24C70634F5C7791BA1E1A3B7E181A9F31iDdBI" TargetMode="External"/><Relationship Id="rId3" Type="http://schemas.openxmlformats.org/officeDocument/2006/relationships/settings" Target="settings.xml"/><Relationship Id="rId7" Type="http://schemas.openxmlformats.org/officeDocument/2006/relationships/hyperlink" Target="consultantplus://offline/ref=1F196FD9CA0BC8ECBBD19FBCCDADC35A870B6BF2FC266C3A320C1DFE5B124A5AF67900CF887B01337613AD81DF06F4463AE2E4D934021B7168780BS2s0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F196FD9CA0BC8ECBBD19FBCCDADC35A870B6BF2FC266C3A320C1DFE5B124A5AF67900CF887B01337613AE8CDF06F4463AE2E4D934021B7168780BS2s0M" TargetMode="External"/><Relationship Id="rId11" Type="http://schemas.openxmlformats.org/officeDocument/2006/relationships/fontTable" Target="fontTable.xml"/><Relationship Id="rId5" Type="http://schemas.openxmlformats.org/officeDocument/2006/relationships/hyperlink" Target="consultantplus://offline/ref=D1F5BEBE1E2AE36E197C0EA2DEAF870A884EB8E2AB6036436676A741C9781FA8FBC581AB3D565483F904BC49B8E6B4EDF71D7B67E884C38A973204v8VCI" TargetMode="External"/><Relationship Id="rId10" Type="http://schemas.openxmlformats.org/officeDocument/2006/relationships/hyperlink" Target="consultantplus://offline/ref=AF48692B31B583D530FBE10A34C63DE982894931DAE98A12725252BD15FF3270EC59C6D0E48DD644783C4A4966C9B61C07257F07069D33D8i5d3I" TargetMode="External"/><Relationship Id="rId4" Type="http://schemas.openxmlformats.org/officeDocument/2006/relationships/webSettings" Target="webSettings.xml"/><Relationship Id="rId9" Type="http://schemas.openxmlformats.org/officeDocument/2006/relationships/hyperlink" Target="consultantplus://offline/ref=AF48692B31B583D530FBE10A34C63DE9828D4632D8E98A12725252BD15FF3270EC59C6D0E48EDF4270634F5C7791BA1E1A3B7E181A9F31iDd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Шмигирилов Андрей Николаевич</dc:creator>
  <cp:lastModifiedBy>Шмигирилов Андрей Николаевич</cp:lastModifiedBy>
  <cp:revision>4</cp:revision>
  <dcterms:created xsi:type="dcterms:W3CDTF">2022-12-26T08:41:00Z</dcterms:created>
  <dcterms:modified xsi:type="dcterms:W3CDTF">2023-01-13T08:47:00Z</dcterms:modified>
</cp:coreProperties>
</file>